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5911" w14:textId="77777777" w:rsidR="0006006E" w:rsidRDefault="00B63432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63432">
        <w:rPr>
          <w:rFonts w:ascii="Arial" w:hAnsi="Arial" w:cs="Arial"/>
          <w:b/>
          <w:bCs/>
          <w:sz w:val="24"/>
          <w:szCs w:val="24"/>
          <w:lang w:val="es-ES"/>
        </w:rPr>
        <w:t>Material Suplementario</w:t>
      </w:r>
    </w:p>
    <w:p w14:paraId="0A4AC6EF" w14:textId="77777777" w:rsidR="00B63432" w:rsidRDefault="00B63432" w:rsidP="00B6343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63432">
        <w:rPr>
          <w:rFonts w:ascii="Arial" w:hAnsi="Arial" w:cs="Arial"/>
          <w:sz w:val="24"/>
          <w:szCs w:val="24"/>
          <w:lang w:val="es-ES"/>
        </w:rPr>
        <w:t>COMPARACIÓN DE LA MORTALIDAD EN PACIENTES EN QUIMIOTERAPIA O INMUNOTERAPIA DURANTE Y ANTES DE LA PANDEMIA DE COVID-19. ESTUDIO MULTICÉNTRICO DE COHORTES EMPAREJADAS</w:t>
      </w:r>
    </w:p>
    <w:p w14:paraId="304B1BA2" w14:textId="77777777" w:rsidR="00B63432" w:rsidRPr="00B63432" w:rsidRDefault="00B63432" w:rsidP="00B63432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</w:pPr>
    </w:p>
    <w:p w14:paraId="4C6FD2EB" w14:textId="77777777" w:rsidR="00B63432" w:rsidRPr="00B63432" w:rsidRDefault="00B63432" w:rsidP="00B63432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</w:pPr>
      <w:r w:rsidRPr="00B63432">
        <w:rPr>
          <w:rFonts w:ascii="Arial" w:eastAsia="Arial" w:hAnsi="Arial" w:cs="Arial"/>
          <w:b/>
          <w:noProof/>
          <w:color w:val="000000"/>
          <w:sz w:val="20"/>
          <w:szCs w:val="20"/>
          <w:lang w:val="en-US"/>
          <w14:ligatures w14:val="standardContextual"/>
        </w:rPr>
        <w:drawing>
          <wp:inline distT="0" distB="0" distL="0" distR="0" wp14:anchorId="63B7BEE5" wp14:editId="1B234736">
            <wp:extent cx="5943600" cy="2971800"/>
            <wp:effectExtent l="0" t="0" r="0" b="0"/>
            <wp:docPr id="6" name="image2.png" descr="Gráfico, Gráfico de dispers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Gráfico, Gráfico de dispersión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B5CA1" w14:textId="149B4711" w:rsidR="00B63432" w:rsidRPr="00B63432" w:rsidRDefault="00B63432" w:rsidP="00B63432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 xml:space="preserve">     </w:t>
      </w:r>
      <w:r w:rsidRPr="00B63432"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>Figur</w:t>
      </w:r>
      <w:r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>e 1</w:t>
      </w:r>
      <w:r w:rsidRPr="00B63432"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 xml:space="preserve">. </w:t>
      </w:r>
      <w:r w:rsidRPr="00B63432">
        <w:rPr>
          <w:rFonts w:ascii="Arial" w:eastAsia="Arial" w:hAnsi="Arial" w:cs="Arial"/>
          <w:bCs/>
          <w:color w:val="000000"/>
          <w:sz w:val="20"/>
          <w:szCs w:val="20"/>
          <w:lang w:val="en-US"/>
          <w14:ligatures w14:val="standardContextual"/>
        </w:rPr>
        <w:t>Distribution of propensity scores according to the exposure to pandemic.</w:t>
      </w:r>
    </w:p>
    <w:p w14:paraId="5E1D95D5" w14:textId="77777777" w:rsidR="00B63432" w:rsidRPr="00B63432" w:rsidRDefault="00B63432" w:rsidP="00B63432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</w:pPr>
    </w:p>
    <w:p w14:paraId="3009E445" w14:textId="77777777" w:rsidR="00B63432" w:rsidRPr="00B63432" w:rsidRDefault="00B63432" w:rsidP="00B63432">
      <w:pP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</w:pPr>
    </w:p>
    <w:p w14:paraId="06870762" w14:textId="240212BF" w:rsidR="00B63432" w:rsidRPr="00B63432" w:rsidRDefault="00B63432" w:rsidP="00B63432">
      <w:pPr>
        <w:spacing w:line="360" w:lineRule="auto"/>
        <w:rPr>
          <w:rFonts w:ascii="Arial" w:eastAsia="Arial" w:hAnsi="Arial" w:cs="Arial"/>
          <w:sz w:val="20"/>
          <w:szCs w:val="20"/>
          <w:lang w:val="en-US"/>
          <w14:ligatures w14:val="standardContextual"/>
        </w:rPr>
      </w:pPr>
      <w:r w:rsidRPr="00B63432">
        <w:rPr>
          <w:rFonts w:ascii="Arial" w:eastAsia="Arial" w:hAnsi="Arial" w:cs="Arial"/>
          <w:noProof/>
          <w:sz w:val="20"/>
          <w:szCs w:val="20"/>
          <w:lang w:val="en-US"/>
          <w14:ligatures w14:val="standardContextual"/>
        </w:rPr>
        <w:lastRenderedPageBreak/>
        <w:drawing>
          <wp:inline distT="0" distB="0" distL="0" distR="0" wp14:anchorId="336FAB4C" wp14:editId="5E0B63CA">
            <wp:extent cx="5943600" cy="3566160"/>
            <wp:effectExtent l="0" t="0" r="0" b="0"/>
            <wp:docPr id="5" name="image3.png" descr="Gráfico, Gráfico de dispers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Gráfico, Gráfico de dispersión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 xml:space="preserve">  </w:t>
      </w:r>
      <w:r w:rsidRPr="00B63432"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>Figur</w:t>
      </w:r>
      <w:r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>e</w:t>
      </w:r>
      <w:r w:rsidRPr="00B63432"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>2</w:t>
      </w:r>
      <w:r w:rsidRPr="00B63432">
        <w:rPr>
          <w:rFonts w:ascii="Arial" w:eastAsia="Arial" w:hAnsi="Arial" w:cs="Arial"/>
          <w:b/>
          <w:color w:val="000000"/>
          <w:sz w:val="20"/>
          <w:szCs w:val="20"/>
          <w:lang w:val="en-US"/>
          <w14:ligatures w14:val="standardContextual"/>
        </w:rPr>
        <w:t xml:space="preserve">. </w:t>
      </w:r>
      <w:r w:rsidRPr="00B63432">
        <w:rPr>
          <w:rFonts w:ascii="Arial" w:eastAsia="Arial" w:hAnsi="Arial" w:cs="Arial"/>
          <w:bCs/>
          <w:color w:val="000000"/>
          <w:sz w:val="20"/>
          <w:szCs w:val="20"/>
          <w:lang w:val="en-US"/>
          <w14:ligatures w14:val="standardContextual"/>
        </w:rPr>
        <w:t>Absolute Standard Mean Difference for each variable</w:t>
      </w:r>
      <w:r>
        <w:rPr>
          <w:rFonts w:ascii="Arial" w:eastAsia="Arial" w:hAnsi="Arial" w:cs="Arial"/>
          <w:bCs/>
          <w:color w:val="000000"/>
          <w:sz w:val="20"/>
          <w:szCs w:val="20"/>
          <w:lang w:val="en-US"/>
          <w14:ligatures w14:val="standardContextual"/>
        </w:rPr>
        <w:t>.</w:t>
      </w:r>
    </w:p>
    <w:p w14:paraId="0532E5B0" w14:textId="77777777" w:rsidR="00B63432" w:rsidRDefault="00B63432" w:rsidP="00B6343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2646D16" w14:textId="333EB44B" w:rsidR="00B63432" w:rsidRPr="00B63432" w:rsidRDefault="00B63432" w:rsidP="00B63432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en-US"/>
          <w14:ligatures w14:val="standardContextual"/>
        </w:rPr>
      </w:pPr>
      <w:r w:rsidRPr="00B63432">
        <w:rPr>
          <w:rFonts w:ascii="Arial" w:eastAsia="Arial" w:hAnsi="Arial" w:cs="Arial"/>
          <w:b/>
          <w:sz w:val="20"/>
          <w:szCs w:val="20"/>
          <w:lang w:val="en-US"/>
          <w14:ligatures w14:val="standardContextual"/>
        </w:rPr>
        <w:t xml:space="preserve">Table 2. </w:t>
      </w:r>
      <w:r w:rsidRPr="00B63432">
        <w:rPr>
          <w:rFonts w:ascii="Arial" w:eastAsia="Arial" w:hAnsi="Arial" w:cs="Arial"/>
          <w:bCs/>
          <w:sz w:val="20"/>
          <w:szCs w:val="20"/>
          <w:lang w:val="en-US"/>
          <w14:ligatures w14:val="standardContextual"/>
        </w:rPr>
        <w:t>Comparison of cohorts before matching</w:t>
      </w:r>
      <w:r>
        <w:rPr>
          <w:rFonts w:ascii="Arial" w:eastAsia="Arial" w:hAnsi="Arial" w:cs="Arial"/>
          <w:bCs/>
          <w:sz w:val="20"/>
          <w:szCs w:val="20"/>
          <w:lang w:val="en-US"/>
          <w14:ligatures w14:val="standardContextual"/>
        </w:rPr>
        <w:t>.</w:t>
      </w:r>
    </w:p>
    <w:tbl>
      <w:tblPr>
        <w:tblW w:w="9515" w:type="dxa"/>
        <w:tblInd w:w="-426" w:type="dxa"/>
        <w:tblLayout w:type="fixed"/>
        <w:tblLook w:val="0600" w:firstRow="0" w:lastRow="0" w:firstColumn="0" w:lastColumn="0" w:noHBand="1" w:noVBand="1"/>
      </w:tblPr>
      <w:tblGrid>
        <w:gridCol w:w="3686"/>
        <w:gridCol w:w="1151"/>
        <w:gridCol w:w="994"/>
        <w:gridCol w:w="1360"/>
        <w:gridCol w:w="1174"/>
        <w:gridCol w:w="1150"/>
      </w:tblGrid>
      <w:tr w:rsidR="00B63432" w:rsidRPr="00B63432" w14:paraId="74B3BF5C" w14:textId="77777777" w:rsidTr="00B63432">
        <w:trPr>
          <w:trHeight w:val="389"/>
        </w:trPr>
        <w:tc>
          <w:tcPr>
            <w:tcW w:w="3686" w:type="dxa"/>
            <w:vMerge w:val="restart"/>
            <w:tcBorders>
              <w:top w:val="single" w:sz="4" w:space="0" w:color="000000"/>
            </w:tcBorders>
          </w:tcPr>
          <w:p w14:paraId="11B9E593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  <w:t>Variables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</w:tcBorders>
          </w:tcPr>
          <w:p w14:paraId="23A8E03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  <w:t>Pandemic (N=169)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</w:tcBorders>
          </w:tcPr>
          <w:p w14:paraId="20AD7C9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  <w:t>Pre-Pandemic (N=377)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</w:tcBorders>
          </w:tcPr>
          <w:p w14:paraId="3A91569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  <w:t>P-Value</w:t>
            </w:r>
          </w:p>
        </w:tc>
      </w:tr>
      <w:tr w:rsidR="00B63432" w:rsidRPr="00B63432" w14:paraId="1E86A313" w14:textId="77777777" w:rsidTr="00B63432">
        <w:trPr>
          <w:trHeight w:val="630"/>
        </w:trPr>
        <w:tc>
          <w:tcPr>
            <w:tcW w:w="3686" w:type="dxa"/>
            <w:vMerge/>
            <w:tcBorders>
              <w:top w:val="single" w:sz="4" w:space="0" w:color="000000"/>
            </w:tcBorders>
          </w:tcPr>
          <w:p w14:paraId="2EC12AD4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4394CAF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n/N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3E3BA8F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%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14:paraId="11CEFFC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n/N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4D363CA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%</w:t>
            </w:r>
          </w:p>
        </w:tc>
        <w:tc>
          <w:tcPr>
            <w:tcW w:w="1150" w:type="dxa"/>
            <w:vMerge/>
            <w:tcBorders>
              <w:top w:val="single" w:sz="4" w:space="0" w:color="000000"/>
            </w:tcBorders>
          </w:tcPr>
          <w:p w14:paraId="34C256BF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7391D930" w14:textId="77777777" w:rsidTr="00B63432">
        <w:trPr>
          <w:trHeight w:val="389"/>
        </w:trPr>
        <w:tc>
          <w:tcPr>
            <w:tcW w:w="8365" w:type="dxa"/>
            <w:gridSpan w:val="5"/>
            <w:tcBorders>
              <w:top w:val="single" w:sz="4" w:space="0" w:color="000000"/>
            </w:tcBorders>
          </w:tcPr>
          <w:p w14:paraId="2E2AC088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Age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3928F6D3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62187EDC" w14:textId="77777777" w:rsidTr="00B63432">
        <w:trPr>
          <w:trHeight w:val="389"/>
        </w:trPr>
        <w:tc>
          <w:tcPr>
            <w:tcW w:w="3686" w:type="dxa"/>
          </w:tcPr>
          <w:p w14:paraId="3D45ECCA" w14:textId="10EC8270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&lt;=65</w:t>
            </w:r>
          </w:p>
        </w:tc>
        <w:tc>
          <w:tcPr>
            <w:tcW w:w="1151" w:type="dxa"/>
          </w:tcPr>
          <w:p w14:paraId="3E99E005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102/169</w:t>
            </w:r>
          </w:p>
        </w:tc>
        <w:tc>
          <w:tcPr>
            <w:tcW w:w="994" w:type="dxa"/>
          </w:tcPr>
          <w:p w14:paraId="3033E31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60.4%</w:t>
            </w:r>
          </w:p>
        </w:tc>
        <w:tc>
          <w:tcPr>
            <w:tcW w:w="1360" w:type="dxa"/>
          </w:tcPr>
          <w:p w14:paraId="519C3AA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238/377</w:t>
            </w:r>
          </w:p>
        </w:tc>
        <w:tc>
          <w:tcPr>
            <w:tcW w:w="1174" w:type="dxa"/>
          </w:tcPr>
          <w:p w14:paraId="718218B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63.1%</w:t>
            </w:r>
          </w:p>
        </w:tc>
        <w:tc>
          <w:tcPr>
            <w:tcW w:w="1150" w:type="dxa"/>
            <w:vMerge w:val="restart"/>
          </w:tcPr>
          <w:p w14:paraId="26FA0ED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0.601</w:t>
            </w:r>
          </w:p>
        </w:tc>
      </w:tr>
      <w:tr w:rsidR="00B63432" w:rsidRPr="00B63432" w14:paraId="3446B10F" w14:textId="77777777" w:rsidTr="00B63432">
        <w:trPr>
          <w:trHeight w:val="389"/>
        </w:trPr>
        <w:tc>
          <w:tcPr>
            <w:tcW w:w="3686" w:type="dxa"/>
          </w:tcPr>
          <w:p w14:paraId="60C7AA91" w14:textId="3D406AC0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&gt;65</w:t>
            </w:r>
          </w:p>
        </w:tc>
        <w:tc>
          <w:tcPr>
            <w:tcW w:w="1151" w:type="dxa"/>
          </w:tcPr>
          <w:p w14:paraId="66E7650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67/169</w:t>
            </w:r>
          </w:p>
        </w:tc>
        <w:tc>
          <w:tcPr>
            <w:tcW w:w="994" w:type="dxa"/>
          </w:tcPr>
          <w:p w14:paraId="561C7E8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39.6%</w:t>
            </w:r>
          </w:p>
        </w:tc>
        <w:tc>
          <w:tcPr>
            <w:tcW w:w="1360" w:type="dxa"/>
          </w:tcPr>
          <w:p w14:paraId="1E2F2D4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139/377</w:t>
            </w:r>
          </w:p>
        </w:tc>
        <w:tc>
          <w:tcPr>
            <w:tcW w:w="1174" w:type="dxa"/>
          </w:tcPr>
          <w:p w14:paraId="12E9D385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36.9%</w:t>
            </w:r>
          </w:p>
        </w:tc>
        <w:tc>
          <w:tcPr>
            <w:tcW w:w="1150" w:type="dxa"/>
            <w:vMerge/>
          </w:tcPr>
          <w:p w14:paraId="2F64420D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5CD1B238" w14:textId="77777777" w:rsidTr="00B63432">
        <w:trPr>
          <w:trHeight w:val="389"/>
        </w:trPr>
        <w:tc>
          <w:tcPr>
            <w:tcW w:w="8365" w:type="dxa"/>
            <w:gridSpan w:val="5"/>
          </w:tcPr>
          <w:p w14:paraId="1703591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Sex</w:t>
            </w:r>
          </w:p>
        </w:tc>
        <w:tc>
          <w:tcPr>
            <w:tcW w:w="1150" w:type="dxa"/>
          </w:tcPr>
          <w:p w14:paraId="767E0D5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5A29634A" w14:textId="77777777" w:rsidTr="00B63432">
        <w:trPr>
          <w:trHeight w:val="389"/>
        </w:trPr>
        <w:tc>
          <w:tcPr>
            <w:tcW w:w="3686" w:type="dxa"/>
          </w:tcPr>
          <w:p w14:paraId="73AEE76E" w14:textId="1D33E2D5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Male</w:t>
            </w:r>
          </w:p>
        </w:tc>
        <w:tc>
          <w:tcPr>
            <w:tcW w:w="1151" w:type="dxa"/>
          </w:tcPr>
          <w:p w14:paraId="17F1660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63/169</w:t>
            </w:r>
          </w:p>
        </w:tc>
        <w:tc>
          <w:tcPr>
            <w:tcW w:w="994" w:type="dxa"/>
          </w:tcPr>
          <w:p w14:paraId="22E469D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37.3%</w:t>
            </w:r>
          </w:p>
        </w:tc>
        <w:tc>
          <w:tcPr>
            <w:tcW w:w="1360" w:type="dxa"/>
          </w:tcPr>
          <w:p w14:paraId="2FBE5A7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118/377</w:t>
            </w:r>
          </w:p>
        </w:tc>
        <w:tc>
          <w:tcPr>
            <w:tcW w:w="1174" w:type="dxa"/>
          </w:tcPr>
          <w:p w14:paraId="34A25C6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31.3%</w:t>
            </w:r>
          </w:p>
        </w:tc>
        <w:tc>
          <w:tcPr>
            <w:tcW w:w="1150" w:type="dxa"/>
            <w:vMerge w:val="restart"/>
          </w:tcPr>
          <w:p w14:paraId="53BECF73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0.203</w:t>
            </w:r>
          </w:p>
        </w:tc>
      </w:tr>
      <w:tr w:rsidR="00B63432" w:rsidRPr="00B63432" w14:paraId="74244C03" w14:textId="77777777" w:rsidTr="00B63432">
        <w:trPr>
          <w:trHeight w:val="389"/>
        </w:trPr>
        <w:tc>
          <w:tcPr>
            <w:tcW w:w="3686" w:type="dxa"/>
          </w:tcPr>
          <w:p w14:paraId="00D2F909" w14:textId="41A803D2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Female</w:t>
            </w:r>
          </w:p>
        </w:tc>
        <w:tc>
          <w:tcPr>
            <w:tcW w:w="1151" w:type="dxa"/>
          </w:tcPr>
          <w:p w14:paraId="38A8780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106/169</w:t>
            </w:r>
          </w:p>
        </w:tc>
        <w:tc>
          <w:tcPr>
            <w:tcW w:w="994" w:type="dxa"/>
          </w:tcPr>
          <w:p w14:paraId="32109EE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62.7%</w:t>
            </w:r>
          </w:p>
        </w:tc>
        <w:tc>
          <w:tcPr>
            <w:tcW w:w="1360" w:type="dxa"/>
          </w:tcPr>
          <w:p w14:paraId="42ABB48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259/377</w:t>
            </w:r>
          </w:p>
        </w:tc>
        <w:tc>
          <w:tcPr>
            <w:tcW w:w="1174" w:type="dxa"/>
          </w:tcPr>
          <w:p w14:paraId="50390E2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68.7%</w:t>
            </w:r>
          </w:p>
        </w:tc>
        <w:tc>
          <w:tcPr>
            <w:tcW w:w="1150" w:type="dxa"/>
            <w:vMerge/>
          </w:tcPr>
          <w:p w14:paraId="37E1FFEF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75A49A5E" w14:textId="77777777" w:rsidTr="00B63432">
        <w:trPr>
          <w:trHeight w:val="389"/>
        </w:trPr>
        <w:tc>
          <w:tcPr>
            <w:tcW w:w="8365" w:type="dxa"/>
            <w:gridSpan w:val="5"/>
          </w:tcPr>
          <w:p w14:paraId="1D74EFC2" w14:textId="66DC007A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Health insurance type</w:t>
            </w:r>
          </w:p>
        </w:tc>
        <w:tc>
          <w:tcPr>
            <w:tcW w:w="1150" w:type="dxa"/>
          </w:tcPr>
          <w:p w14:paraId="2A1EAB7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76CC8DF0" w14:textId="77777777" w:rsidTr="00B63432">
        <w:trPr>
          <w:trHeight w:val="389"/>
        </w:trPr>
        <w:tc>
          <w:tcPr>
            <w:tcW w:w="3686" w:type="dxa"/>
          </w:tcPr>
          <w:p w14:paraId="46C2F372" w14:textId="3E1A33A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General Public Health</w:t>
            </w:r>
          </w:p>
        </w:tc>
        <w:tc>
          <w:tcPr>
            <w:tcW w:w="1151" w:type="dxa"/>
          </w:tcPr>
          <w:p w14:paraId="40023A73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23/167</w:t>
            </w:r>
          </w:p>
        </w:tc>
        <w:tc>
          <w:tcPr>
            <w:tcW w:w="994" w:type="dxa"/>
          </w:tcPr>
          <w:p w14:paraId="3089260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13.8%</w:t>
            </w:r>
          </w:p>
        </w:tc>
        <w:tc>
          <w:tcPr>
            <w:tcW w:w="1360" w:type="dxa"/>
          </w:tcPr>
          <w:p w14:paraId="18854CC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51/376</w:t>
            </w:r>
          </w:p>
        </w:tc>
        <w:tc>
          <w:tcPr>
            <w:tcW w:w="1174" w:type="dxa"/>
          </w:tcPr>
          <w:p w14:paraId="4CDF9E3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13.6%</w:t>
            </w:r>
          </w:p>
        </w:tc>
        <w:tc>
          <w:tcPr>
            <w:tcW w:w="1150" w:type="dxa"/>
            <w:vMerge w:val="restart"/>
          </w:tcPr>
          <w:p w14:paraId="39C5DD6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0.580</w:t>
            </w:r>
          </w:p>
        </w:tc>
      </w:tr>
      <w:tr w:rsidR="00B63432" w:rsidRPr="00B63432" w14:paraId="35341997" w14:textId="77777777" w:rsidTr="00B63432">
        <w:trPr>
          <w:trHeight w:val="389"/>
        </w:trPr>
        <w:tc>
          <w:tcPr>
            <w:tcW w:w="3686" w:type="dxa"/>
          </w:tcPr>
          <w:p w14:paraId="7B2B070A" w14:textId="6B3A5C8C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Government Health for Aged</w:t>
            </w:r>
          </w:p>
        </w:tc>
        <w:tc>
          <w:tcPr>
            <w:tcW w:w="1151" w:type="dxa"/>
          </w:tcPr>
          <w:p w14:paraId="3CBA0EE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34/167</w:t>
            </w:r>
          </w:p>
        </w:tc>
        <w:tc>
          <w:tcPr>
            <w:tcW w:w="994" w:type="dxa"/>
          </w:tcPr>
          <w:p w14:paraId="48D9BE8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20.4%</w:t>
            </w:r>
          </w:p>
        </w:tc>
        <w:tc>
          <w:tcPr>
            <w:tcW w:w="1360" w:type="dxa"/>
          </w:tcPr>
          <w:p w14:paraId="646E42D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63/376</w:t>
            </w:r>
          </w:p>
        </w:tc>
        <w:tc>
          <w:tcPr>
            <w:tcW w:w="1174" w:type="dxa"/>
          </w:tcPr>
          <w:p w14:paraId="7507F69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16.8%</w:t>
            </w:r>
          </w:p>
        </w:tc>
        <w:tc>
          <w:tcPr>
            <w:tcW w:w="1150" w:type="dxa"/>
            <w:vMerge/>
          </w:tcPr>
          <w:p w14:paraId="4D8CFF89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27C5D4AC" w14:textId="77777777" w:rsidTr="00B63432">
        <w:trPr>
          <w:trHeight w:val="389"/>
        </w:trPr>
        <w:tc>
          <w:tcPr>
            <w:tcW w:w="3686" w:type="dxa"/>
          </w:tcPr>
          <w:p w14:paraId="2AC68222" w14:textId="2668738A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Private health</w:t>
            </w:r>
          </w:p>
        </w:tc>
        <w:tc>
          <w:tcPr>
            <w:tcW w:w="1151" w:type="dxa"/>
          </w:tcPr>
          <w:p w14:paraId="1C7B28B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110/167</w:t>
            </w:r>
          </w:p>
        </w:tc>
        <w:tc>
          <w:tcPr>
            <w:tcW w:w="994" w:type="dxa"/>
          </w:tcPr>
          <w:p w14:paraId="3BD6EB6C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65.9%</w:t>
            </w:r>
          </w:p>
        </w:tc>
        <w:tc>
          <w:tcPr>
            <w:tcW w:w="1360" w:type="dxa"/>
          </w:tcPr>
          <w:p w14:paraId="3F12656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262/376</w:t>
            </w:r>
          </w:p>
        </w:tc>
        <w:tc>
          <w:tcPr>
            <w:tcW w:w="1174" w:type="dxa"/>
          </w:tcPr>
          <w:p w14:paraId="3FC7F73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69.7%</w:t>
            </w:r>
          </w:p>
        </w:tc>
        <w:tc>
          <w:tcPr>
            <w:tcW w:w="1150" w:type="dxa"/>
            <w:vMerge/>
          </w:tcPr>
          <w:p w14:paraId="756466BA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3AE2027A" w14:textId="77777777" w:rsidTr="00B63432">
        <w:trPr>
          <w:trHeight w:val="389"/>
        </w:trPr>
        <w:tc>
          <w:tcPr>
            <w:tcW w:w="8365" w:type="dxa"/>
            <w:gridSpan w:val="5"/>
          </w:tcPr>
          <w:p w14:paraId="275CD9F7" w14:textId="1B23B2A3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lastRenderedPageBreak/>
              <w:t xml:space="preserve">Treatment Type </w:t>
            </w:r>
          </w:p>
        </w:tc>
        <w:tc>
          <w:tcPr>
            <w:tcW w:w="1150" w:type="dxa"/>
          </w:tcPr>
          <w:p w14:paraId="30229CB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73542547" w14:textId="77777777" w:rsidTr="00B63432">
        <w:trPr>
          <w:trHeight w:val="389"/>
        </w:trPr>
        <w:tc>
          <w:tcPr>
            <w:tcW w:w="3686" w:type="dxa"/>
          </w:tcPr>
          <w:p w14:paraId="0B85C370" w14:textId="5DC2DB51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Chemotherapy</w:t>
            </w:r>
          </w:p>
        </w:tc>
        <w:tc>
          <w:tcPr>
            <w:tcW w:w="1151" w:type="dxa"/>
          </w:tcPr>
          <w:p w14:paraId="25A74D3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154/166</w:t>
            </w:r>
          </w:p>
        </w:tc>
        <w:tc>
          <w:tcPr>
            <w:tcW w:w="994" w:type="dxa"/>
          </w:tcPr>
          <w:p w14:paraId="1E4B2E2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92.8%</w:t>
            </w:r>
          </w:p>
        </w:tc>
        <w:tc>
          <w:tcPr>
            <w:tcW w:w="1360" w:type="dxa"/>
          </w:tcPr>
          <w:p w14:paraId="45362D7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360/377</w:t>
            </w:r>
          </w:p>
        </w:tc>
        <w:tc>
          <w:tcPr>
            <w:tcW w:w="1174" w:type="dxa"/>
          </w:tcPr>
          <w:p w14:paraId="4A7BEB6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95.5%</w:t>
            </w:r>
          </w:p>
        </w:tc>
        <w:tc>
          <w:tcPr>
            <w:tcW w:w="1150" w:type="dxa"/>
            <w:vMerge w:val="restart"/>
          </w:tcPr>
          <w:p w14:paraId="0F02A3D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0.275</w:t>
            </w:r>
          </w:p>
        </w:tc>
      </w:tr>
      <w:tr w:rsidR="00B63432" w:rsidRPr="00B63432" w14:paraId="13A4C40C" w14:textId="77777777" w:rsidTr="00B63432">
        <w:trPr>
          <w:trHeight w:val="389"/>
        </w:trPr>
        <w:tc>
          <w:tcPr>
            <w:tcW w:w="3686" w:type="dxa"/>
          </w:tcPr>
          <w:p w14:paraId="7E26FB24" w14:textId="561310C5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Immune therapy</w:t>
            </w:r>
          </w:p>
        </w:tc>
        <w:tc>
          <w:tcPr>
            <w:tcW w:w="1151" w:type="dxa"/>
          </w:tcPr>
          <w:p w14:paraId="387D991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12/166</w:t>
            </w:r>
          </w:p>
        </w:tc>
        <w:tc>
          <w:tcPr>
            <w:tcW w:w="994" w:type="dxa"/>
          </w:tcPr>
          <w:p w14:paraId="456657A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7.2%</w:t>
            </w:r>
          </w:p>
        </w:tc>
        <w:tc>
          <w:tcPr>
            <w:tcW w:w="1360" w:type="dxa"/>
          </w:tcPr>
          <w:p w14:paraId="023C7A48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17/377</w:t>
            </w:r>
          </w:p>
        </w:tc>
        <w:tc>
          <w:tcPr>
            <w:tcW w:w="1174" w:type="dxa"/>
          </w:tcPr>
          <w:p w14:paraId="652BD7D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4.5%</w:t>
            </w:r>
          </w:p>
        </w:tc>
        <w:tc>
          <w:tcPr>
            <w:tcW w:w="1150" w:type="dxa"/>
            <w:vMerge/>
          </w:tcPr>
          <w:p w14:paraId="5E057D4C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01F9BD85" w14:textId="77777777" w:rsidTr="00B63432">
        <w:trPr>
          <w:trHeight w:val="389"/>
        </w:trPr>
        <w:tc>
          <w:tcPr>
            <w:tcW w:w="8365" w:type="dxa"/>
            <w:gridSpan w:val="5"/>
          </w:tcPr>
          <w:p w14:paraId="05F713F1" w14:textId="6DDEE5D3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Tumor type group</w:t>
            </w:r>
          </w:p>
        </w:tc>
        <w:tc>
          <w:tcPr>
            <w:tcW w:w="1150" w:type="dxa"/>
          </w:tcPr>
          <w:p w14:paraId="72C4C65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05BDE2BA" w14:textId="77777777" w:rsidTr="00B63432">
        <w:trPr>
          <w:trHeight w:val="389"/>
        </w:trPr>
        <w:tc>
          <w:tcPr>
            <w:tcW w:w="3686" w:type="dxa"/>
          </w:tcPr>
          <w:p w14:paraId="64E8368F" w14:textId="369590FD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1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val="en-US"/>
                <w14:ligatures w14:val="standardContextual"/>
              </w:rPr>
              <w:t xml:space="preserve"> a</w:t>
            </w:r>
          </w:p>
        </w:tc>
        <w:tc>
          <w:tcPr>
            <w:tcW w:w="1151" w:type="dxa"/>
          </w:tcPr>
          <w:p w14:paraId="3B82025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55/169</w:t>
            </w:r>
          </w:p>
        </w:tc>
        <w:tc>
          <w:tcPr>
            <w:tcW w:w="994" w:type="dxa"/>
          </w:tcPr>
          <w:p w14:paraId="05A08DC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32.5%</w:t>
            </w:r>
          </w:p>
        </w:tc>
        <w:tc>
          <w:tcPr>
            <w:tcW w:w="1360" w:type="dxa"/>
          </w:tcPr>
          <w:p w14:paraId="7B6C2B1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139/377</w:t>
            </w:r>
          </w:p>
        </w:tc>
        <w:tc>
          <w:tcPr>
            <w:tcW w:w="1174" w:type="dxa"/>
          </w:tcPr>
          <w:p w14:paraId="7FBEE23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36.9%</w:t>
            </w:r>
          </w:p>
        </w:tc>
        <w:tc>
          <w:tcPr>
            <w:tcW w:w="1150" w:type="dxa"/>
            <w:vMerge w:val="restart"/>
          </w:tcPr>
          <w:p w14:paraId="58F9E473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0.539</w:t>
            </w:r>
          </w:p>
        </w:tc>
      </w:tr>
      <w:tr w:rsidR="00B63432" w:rsidRPr="00B63432" w14:paraId="10F9F472" w14:textId="77777777" w:rsidTr="00B63432">
        <w:trPr>
          <w:trHeight w:val="389"/>
        </w:trPr>
        <w:tc>
          <w:tcPr>
            <w:tcW w:w="3686" w:type="dxa"/>
          </w:tcPr>
          <w:p w14:paraId="60AFAFF7" w14:textId="3453FAD8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2,4,5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val="en-US"/>
                <w14:ligatures w14:val="standardContextual"/>
              </w:rPr>
              <w:t xml:space="preserve"> b</w:t>
            </w:r>
          </w:p>
        </w:tc>
        <w:tc>
          <w:tcPr>
            <w:tcW w:w="1151" w:type="dxa"/>
          </w:tcPr>
          <w:p w14:paraId="4EFE91F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77/169</w:t>
            </w:r>
          </w:p>
        </w:tc>
        <w:tc>
          <w:tcPr>
            <w:tcW w:w="994" w:type="dxa"/>
          </w:tcPr>
          <w:p w14:paraId="1733690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45.6%</w:t>
            </w:r>
          </w:p>
        </w:tc>
        <w:tc>
          <w:tcPr>
            <w:tcW w:w="1360" w:type="dxa"/>
          </w:tcPr>
          <w:p w14:paraId="2A5134B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154/377</w:t>
            </w:r>
          </w:p>
        </w:tc>
        <w:tc>
          <w:tcPr>
            <w:tcW w:w="1174" w:type="dxa"/>
          </w:tcPr>
          <w:p w14:paraId="086138E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40.8%</w:t>
            </w:r>
          </w:p>
        </w:tc>
        <w:tc>
          <w:tcPr>
            <w:tcW w:w="1150" w:type="dxa"/>
            <w:vMerge/>
          </w:tcPr>
          <w:p w14:paraId="14D02A78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7C96E76B" w14:textId="77777777" w:rsidTr="00B63432">
        <w:trPr>
          <w:trHeight w:val="389"/>
        </w:trPr>
        <w:tc>
          <w:tcPr>
            <w:tcW w:w="3686" w:type="dxa"/>
          </w:tcPr>
          <w:p w14:paraId="60236B64" w14:textId="386AB7F1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3,6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val="en-US"/>
                <w14:ligatures w14:val="standardContextual"/>
              </w:rPr>
              <w:t xml:space="preserve"> c</w:t>
            </w:r>
          </w:p>
        </w:tc>
        <w:tc>
          <w:tcPr>
            <w:tcW w:w="1151" w:type="dxa"/>
          </w:tcPr>
          <w:p w14:paraId="49DBBB1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37/169</w:t>
            </w:r>
          </w:p>
        </w:tc>
        <w:tc>
          <w:tcPr>
            <w:tcW w:w="994" w:type="dxa"/>
          </w:tcPr>
          <w:p w14:paraId="0DA51A1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21.9%</w:t>
            </w:r>
          </w:p>
        </w:tc>
        <w:tc>
          <w:tcPr>
            <w:tcW w:w="1360" w:type="dxa"/>
          </w:tcPr>
          <w:p w14:paraId="11E6380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84/377</w:t>
            </w:r>
          </w:p>
        </w:tc>
        <w:tc>
          <w:tcPr>
            <w:tcW w:w="1174" w:type="dxa"/>
          </w:tcPr>
          <w:p w14:paraId="47FF1D75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22.3%</w:t>
            </w:r>
          </w:p>
        </w:tc>
        <w:tc>
          <w:tcPr>
            <w:tcW w:w="1150" w:type="dxa"/>
            <w:vMerge/>
          </w:tcPr>
          <w:p w14:paraId="2119F9F5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77B1E67E" w14:textId="77777777" w:rsidTr="00B63432">
        <w:trPr>
          <w:trHeight w:val="389"/>
        </w:trPr>
        <w:tc>
          <w:tcPr>
            <w:tcW w:w="8365" w:type="dxa"/>
            <w:gridSpan w:val="5"/>
          </w:tcPr>
          <w:p w14:paraId="4438F5A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Treatment line</w:t>
            </w:r>
          </w:p>
        </w:tc>
        <w:tc>
          <w:tcPr>
            <w:tcW w:w="1150" w:type="dxa"/>
          </w:tcPr>
          <w:p w14:paraId="5834ABD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56B1E65C" w14:textId="77777777" w:rsidTr="00B63432">
        <w:trPr>
          <w:trHeight w:val="389"/>
        </w:trPr>
        <w:tc>
          <w:tcPr>
            <w:tcW w:w="3686" w:type="dxa"/>
          </w:tcPr>
          <w:p w14:paraId="7EE46C3A" w14:textId="1FAF64BB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(Neo)adjuvant</w:t>
            </w:r>
          </w:p>
        </w:tc>
        <w:tc>
          <w:tcPr>
            <w:tcW w:w="1151" w:type="dxa"/>
          </w:tcPr>
          <w:p w14:paraId="1C18E20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76/169</w:t>
            </w:r>
          </w:p>
        </w:tc>
        <w:tc>
          <w:tcPr>
            <w:tcW w:w="994" w:type="dxa"/>
          </w:tcPr>
          <w:p w14:paraId="01A43B9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45.0%</w:t>
            </w:r>
          </w:p>
        </w:tc>
        <w:tc>
          <w:tcPr>
            <w:tcW w:w="1360" w:type="dxa"/>
          </w:tcPr>
          <w:p w14:paraId="148E5B1C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135/376</w:t>
            </w:r>
          </w:p>
        </w:tc>
        <w:tc>
          <w:tcPr>
            <w:tcW w:w="1174" w:type="dxa"/>
          </w:tcPr>
          <w:p w14:paraId="3449F97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35.9%</w:t>
            </w:r>
          </w:p>
        </w:tc>
        <w:tc>
          <w:tcPr>
            <w:tcW w:w="1150" w:type="dxa"/>
            <w:vMerge w:val="restart"/>
          </w:tcPr>
          <w:p w14:paraId="14F3593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0.129</w:t>
            </w:r>
          </w:p>
        </w:tc>
      </w:tr>
      <w:tr w:rsidR="00B63432" w:rsidRPr="00B63432" w14:paraId="78174EEB" w14:textId="77777777" w:rsidTr="00B63432">
        <w:trPr>
          <w:trHeight w:val="389"/>
        </w:trPr>
        <w:tc>
          <w:tcPr>
            <w:tcW w:w="3686" w:type="dxa"/>
          </w:tcPr>
          <w:p w14:paraId="01DF3E0A" w14:textId="4B9E6BDF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First line</w:t>
            </w:r>
          </w:p>
        </w:tc>
        <w:tc>
          <w:tcPr>
            <w:tcW w:w="1151" w:type="dxa"/>
          </w:tcPr>
          <w:p w14:paraId="6C5BC2EC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57/169</w:t>
            </w:r>
          </w:p>
        </w:tc>
        <w:tc>
          <w:tcPr>
            <w:tcW w:w="994" w:type="dxa"/>
          </w:tcPr>
          <w:p w14:paraId="1751C7E8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33.7%</w:t>
            </w:r>
          </w:p>
        </w:tc>
        <w:tc>
          <w:tcPr>
            <w:tcW w:w="1360" w:type="dxa"/>
          </w:tcPr>
          <w:p w14:paraId="376ED68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151/376</w:t>
            </w:r>
          </w:p>
        </w:tc>
        <w:tc>
          <w:tcPr>
            <w:tcW w:w="1174" w:type="dxa"/>
          </w:tcPr>
          <w:p w14:paraId="32293C0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40.2%</w:t>
            </w:r>
          </w:p>
        </w:tc>
        <w:tc>
          <w:tcPr>
            <w:tcW w:w="1150" w:type="dxa"/>
            <w:vMerge/>
          </w:tcPr>
          <w:p w14:paraId="72EFE454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42795EEF" w14:textId="77777777" w:rsidTr="00B63432">
        <w:trPr>
          <w:trHeight w:val="389"/>
        </w:trPr>
        <w:tc>
          <w:tcPr>
            <w:tcW w:w="3686" w:type="dxa"/>
          </w:tcPr>
          <w:p w14:paraId="313B767F" w14:textId="23F2E0F2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Second or higher</w:t>
            </w:r>
          </w:p>
        </w:tc>
        <w:tc>
          <w:tcPr>
            <w:tcW w:w="1151" w:type="dxa"/>
          </w:tcPr>
          <w:p w14:paraId="513DB9F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36/169</w:t>
            </w:r>
          </w:p>
        </w:tc>
        <w:tc>
          <w:tcPr>
            <w:tcW w:w="994" w:type="dxa"/>
          </w:tcPr>
          <w:p w14:paraId="4814B5D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21.3%</w:t>
            </w:r>
          </w:p>
        </w:tc>
        <w:tc>
          <w:tcPr>
            <w:tcW w:w="1360" w:type="dxa"/>
          </w:tcPr>
          <w:p w14:paraId="5D90C2E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90/376</w:t>
            </w:r>
          </w:p>
        </w:tc>
        <w:tc>
          <w:tcPr>
            <w:tcW w:w="1174" w:type="dxa"/>
          </w:tcPr>
          <w:p w14:paraId="15923B4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23.9%</w:t>
            </w:r>
          </w:p>
        </w:tc>
        <w:tc>
          <w:tcPr>
            <w:tcW w:w="1150" w:type="dxa"/>
            <w:vMerge/>
          </w:tcPr>
          <w:p w14:paraId="25F85248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2E091EC8" w14:textId="77777777" w:rsidTr="00B63432">
        <w:trPr>
          <w:trHeight w:val="389"/>
        </w:trPr>
        <w:tc>
          <w:tcPr>
            <w:tcW w:w="9515" w:type="dxa"/>
            <w:gridSpan w:val="6"/>
          </w:tcPr>
          <w:p w14:paraId="093E171B" w14:textId="69A73FBE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Number of drugs in the treatment scheme</w:t>
            </w:r>
          </w:p>
        </w:tc>
      </w:tr>
      <w:tr w:rsidR="00B63432" w:rsidRPr="00B63432" w14:paraId="5CF863C7" w14:textId="77777777" w:rsidTr="00B63432">
        <w:trPr>
          <w:trHeight w:val="389"/>
        </w:trPr>
        <w:tc>
          <w:tcPr>
            <w:tcW w:w="3686" w:type="dxa"/>
          </w:tcPr>
          <w:p w14:paraId="2EEEAC6F" w14:textId="6B76C053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One or two</w:t>
            </w:r>
          </w:p>
        </w:tc>
        <w:tc>
          <w:tcPr>
            <w:tcW w:w="1151" w:type="dxa"/>
          </w:tcPr>
          <w:p w14:paraId="1559E6A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159/168</w:t>
            </w:r>
          </w:p>
        </w:tc>
        <w:tc>
          <w:tcPr>
            <w:tcW w:w="994" w:type="dxa"/>
          </w:tcPr>
          <w:p w14:paraId="34F1933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94.6%</w:t>
            </w:r>
          </w:p>
        </w:tc>
        <w:tc>
          <w:tcPr>
            <w:tcW w:w="1360" w:type="dxa"/>
          </w:tcPr>
          <w:p w14:paraId="32A89D7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336/377</w:t>
            </w:r>
          </w:p>
        </w:tc>
        <w:tc>
          <w:tcPr>
            <w:tcW w:w="1174" w:type="dxa"/>
          </w:tcPr>
          <w:p w14:paraId="09AC94F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89.1%</w:t>
            </w:r>
          </w:p>
        </w:tc>
        <w:tc>
          <w:tcPr>
            <w:tcW w:w="1150" w:type="dxa"/>
            <w:vMerge w:val="restart"/>
          </w:tcPr>
          <w:p w14:paraId="3CDBF2A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0.057</w:t>
            </w:r>
          </w:p>
        </w:tc>
      </w:tr>
      <w:tr w:rsidR="00B63432" w:rsidRPr="00B63432" w14:paraId="56E3D27F" w14:textId="77777777" w:rsidTr="00B63432">
        <w:trPr>
          <w:trHeight w:val="389"/>
        </w:trPr>
        <w:tc>
          <w:tcPr>
            <w:tcW w:w="3686" w:type="dxa"/>
          </w:tcPr>
          <w:p w14:paraId="4018C034" w14:textId="000FDDC0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Three or more</w:t>
            </w:r>
          </w:p>
        </w:tc>
        <w:tc>
          <w:tcPr>
            <w:tcW w:w="1151" w:type="dxa"/>
          </w:tcPr>
          <w:p w14:paraId="10926ED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9/168</w:t>
            </w:r>
          </w:p>
        </w:tc>
        <w:tc>
          <w:tcPr>
            <w:tcW w:w="994" w:type="dxa"/>
          </w:tcPr>
          <w:p w14:paraId="5CB33A25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5.4%</w:t>
            </w:r>
          </w:p>
        </w:tc>
        <w:tc>
          <w:tcPr>
            <w:tcW w:w="1360" w:type="dxa"/>
          </w:tcPr>
          <w:p w14:paraId="62CA89F0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41/377</w:t>
            </w:r>
          </w:p>
        </w:tc>
        <w:tc>
          <w:tcPr>
            <w:tcW w:w="1174" w:type="dxa"/>
          </w:tcPr>
          <w:p w14:paraId="0F1A96A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10.9%</w:t>
            </w:r>
          </w:p>
        </w:tc>
        <w:tc>
          <w:tcPr>
            <w:tcW w:w="1150" w:type="dxa"/>
            <w:vMerge/>
          </w:tcPr>
          <w:p w14:paraId="0A115B2F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0339F945" w14:textId="77777777" w:rsidTr="00B63432">
        <w:trPr>
          <w:trHeight w:val="389"/>
        </w:trPr>
        <w:tc>
          <w:tcPr>
            <w:tcW w:w="3686" w:type="dxa"/>
          </w:tcPr>
          <w:p w14:paraId="7D0F235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COVID-19 risk factors</w:t>
            </w:r>
          </w:p>
        </w:tc>
        <w:tc>
          <w:tcPr>
            <w:tcW w:w="1151" w:type="dxa"/>
          </w:tcPr>
          <w:p w14:paraId="48CC565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994" w:type="dxa"/>
          </w:tcPr>
          <w:p w14:paraId="621A14C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360" w:type="dxa"/>
          </w:tcPr>
          <w:p w14:paraId="1D9D400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174" w:type="dxa"/>
          </w:tcPr>
          <w:p w14:paraId="34AE764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150" w:type="dxa"/>
          </w:tcPr>
          <w:p w14:paraId="23FB856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455DB5B1" w14:textId="77777777" w:rsidTr="00B63432">
        <w:trPr>
          <w:trHeight w:val="389"/>
        </w:trPr>
        <w:tc>
          <w:tcPr>
            <w:tcW w:w="3686" w:type="dxa"/>
          </w:tcPr>
          <w:p w14:paraId="621C83A9" w14:textId="01B70F43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None</w:t>
            </w:r>
          </w:p>
        </w:tc>
        <w:tc>
          <w:tcPr>
            <w:tcW w:w="1151" w:type="dxa"/>
          </w:tcPr>
          <w:p w14:paraId="7AF3E20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55/169</w:t>
            </w:r>
          </w:p>
        </w:tc>
        <w:tc>
          <w:tcPr>
            <w:tcW w:w="994" w:type="dxa"/>
          </w:tcPr>
          <w:p w14:paraId="793426F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32.5%</w:t>
            </w:r>
          </w:p>
        </w:tc>
        <w:tc>
          <w:tcPr>
            <w:tcW w:w="1360" w:type="dxa"/>
          </w:tcPr>
          <w:p w14:paraId="60C904D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114/377</w:t>
            </w:r>
          </w:p>
        </w:tc>
        <w:tc>
          <w:tcPr>
            <w:tcW w:w="1174" w:type="dxa"/>
          </w:tcPr>
          <w:p w14:paraId="1ACB7DD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30.2%</w:t>
            </w:r>
          </w:p>
        </w:tc>
        <w:tc>
          <w:tcPr>
            <w:tcW w:w="1150" w:type="dxa"/>
            <w:vMerge w:val="restart"/>
          </w:tcPr>
          <w:p w14:paraId="0BA7F48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0.565</w:t>
            </w:r>
          </w:p>
        </w:tc>
      </w:tr>
      <w:tr w:rsidR="00B63432" w:rsidRPr="00B63432" w14:paraId="19CAC8FB" w14:textId="77777777" w:rsidTr="00B63432">
        <w:trPr>
          <w:trHeight w:val="389"/>
        </w:trPr>
        <w:tc>
          <w:tcPr>
            <w:tcW w:w="3686" w:type="dxa"/>
          </w:tcPr>
          <w:p w14:paraId="3710136E" w14:textId="6C09724F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1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val="en-US"/>
                <w14:ligatures w14:val="standardContextual"/>
              </w:rPr>
              <w:t>d</w:t>
            </w:r>
          </w:p>
        </w:tc>
        <w:tc>
          <w:tcPr>
            <w:tcW w:w="1151" w:type="dxa"/>
          </w:tcPr>
          <w:p w14:paraId="7EC62B6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60/169</w:t>
            </w:r>
          </w:p>
        </w:tc>
        <w:tc>
          <w:tcPr>
            <w:tcW w:w="994" w:type="dxa"/>
          </w:tcPr>
          <w:p w14:paraId="137C742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35.5%</w:t>
            </w:r>
          </w:p>
        </w:tc>
        <w:tc>
          <w:tcPr>
            <w:tcW w:w="1360" w:type="dxa"/>
          </w:tcPr>
          <w:p w14:paraId="2880AC5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152/377</w:t>
            </w:r>
          </w:p>
        </w:tc>
        <w:tc>
          <w:tcPr>
            <w:tcW w:w="1174" w:type="dxa"/>
          </w:tcPr>
          <w:p w14:paraId="6B60A44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40.3%</w:t>
            </w:r>
          </w:p>
        </w:tc>
        <w:tc>
          <w:tcPr>
            <w:tcW w:w="1150" w:type="dxa"/>
            <w:vMerge/>
          </w:tcPr>
          <w:p w14:paraId="758C133C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666E1551" w14:textId="77777777" w:rsidTr="00B63432">
        <w:trPr>
          <w:trHeight w:val="389"/>
        </w:trPr>
        <w:tc>
          <w:tcPr>
            <w:tcW w:w="3686" w:type="dxa"/>
          </w:tcPr>
          <w:p w14:paraId="138CF31E" w14:textId="53F1360F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2-6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val="en-US"/>
                <w14:ligatures w14:val="standardContextual"/>
              </w:rPr>
              <w:t>d</w:t>
            </w:r>
          </w:p>
        </w:tc>
        <w:tc>
          <w:tcPr>
            <w:tcW w:w="1151" w:type="dxa"/>
          </w:tcPr>
          <w:p w14:paraId="215786A4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54/169</w:t>
            </w:r>
          </w:p>
        </w:tc>
        <w:tc>
          <w:tcPr>
            <w:tcW w:w="994" w:type="dxa"/>
          </w:tcPr>
          <w:p w14:paraId="35D4F2A8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32%</w:t>
            </w:r>
          </w:p>
        </w:tc>
        <w:tc>
          <w:tcPr>
            <w:tcW w:w="1360" w:type="dxa"/>
          </w:tcPr>
          <w:p w14:paraId="456DEFE5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111/377</w:t>
            </w:r>
          </w:p>
        </w:tc>
        <w:tc>
          <w:tcPr>
            <w:tcW w:w="1174" w:type="dxa"/>
          </w:tcPr>
          <w:p w14:paraId="25990E5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29.4%</w:t>
            </w:r>
          </w:p>
        </w:tc>
        <w:tc>
          <w:tcPr>
            <w:tcW w:w="1150" w:type="dxa"/>
            <w:vMerge/>
          </w:tcPr>
          <w:p w14:paraId="7BC8EE62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63DB94AA" w14:textId="77777777" w:rsidTr="00B63432">
        <w:trPr>
          <w:trHeight w:val="389"/>
        </w:trPr>
        <w:tc>
          <w:tcPr>
            <w:tcW w:w="8365" w:type="dxa"/>
            <w:gridSpan w:val="5"/>
          </w:tcPr>
          <w:p w14:paraId="4D5865E8" w14:textId="46046FB8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ECOG</w:t>
            </w:r>
          </w:p>
        </w:tc>
        <w:tc>
          <w:tcPr>
            <w:tcW w:w="1150" w:type="dxa"/>
          </w:tcPr>
          <w:p w14:paraId="534A48E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65D20511" w14:textId="77777777" w:rsidTr="00B63432">
        <w:trPr>
          <w:trHeight w:val="389"/>
        </w:trPr>
        <w:tc>
          <w:tcPr>
            <w:tcW w:w="3686" w:type="dxa"/>
          </w:tcPr>
          <w:p w14:paraId="79E33A49" w14:textId="5378BADB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ECOG 0</w:t>
            </w:r>
          </w:p>
        </w:tc>
        <w:tc>
          <w:tcPr>
            <w:tcW w:w="1151" w:type="dxa"/>
          </w:tcPr>
          <w:p w14:paraId="1D3FFE6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50/168</w:t>
            </w:r>
          </w:p>
        </w:tc>
        <w:tc>
          <w:tcPr>
            <w:tcW w:w="994" w:type="dxa"/>
          </w:tcPr>
          <w:p w14:paraId="3B0E8C75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29.8%</w:t>
            </w:r>
          </w:p>
        </w:tc>
        <w:tc>
          <w:tcPr>
            <w:tcW w:w="1360" w:type="dxa"/>
          </w:tcPr>
          <w:p w14:paraId="382F275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141/377</w:t>
            </w:r>
          </w:p>
        </w:tc>
        <w:tc>
          <w:tcPr>
            <w:tcW w:w="1174" w:type="dxa"/>
          </w:tcPr>
          <w:p w14:paraId="04050F5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37.4%</w:t>
            </w:r>
          </w:p>
        </w:tc>
        <w:tc>
          <w:tcPr>
            <w:tcW w:w="1150" w:type="dxa"/>
            <w:vMerge w:val="restart"/>
          </w:tcPr>
          <w:p w14:paraId="512A7B8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0.205</w:t>
            </w:r>
          </w:p>
        </w:tc>
      </w:tr>
      <w:tr w:rsidR="00B63432" w:rsidRPr="00B63432" w14:paraId="1EBCB258" w14:textId="77777777" w:rsidTr="00B63432">
        <w:trPr>
          <w:trHeight w:val="389"/>
        </w:trPr>
        <w:tc>
          <w:tcPr>
            <w:tcW w:w="3686" w:type="dxa"/>
          </w:tcPr>
          <w:p w14:paraId="45195643" w14:textId="15D8C32E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ECOG 1</w:t>
            </w:r>
          </w:p>
        </w:tc>
        <w:tc>
          <w:tcPr>
            <w:tcW w:w="1151" w:type="dxa"/>
          </w:tcPr>
          <w:p w14:paraId="780F1031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100/168</w:t>
            </w:r>
          </w:p>
        </w:tc>
        <w:tc>
          <w:tcPr>
            <w:tcW w:w="994" w:type="dxa"/>
          </w:tcPr>
          <w:p w14:paraId="74ED2F6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59.5%</w:t>
            </w:r>
          </w:p>
        </w:tc>
        <w:tc>
          <w:tcPr>
            <w:tcW w:w="1360" w:type="dxa"/>
          </w:tcPr>
          <w:p w14:paraId="4A41136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204/377</w:t>
            </w:r>
          </w:p>
        </w:tc>
        <w:tc>
          <w:tcPr>
            <w:tcW w:w="1174" w:type="dxa"/>
          </w:tcPr>
          <w:p w14:paraId="3D9165A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54.1%</w:t>
            </w:r>
          </w:p>
        </w:tc>
        <w:tc>
          <w:tcPr>
            <w:tcW w:w="1150" w:type="dxa"/>
            <w:vMerge/>
          </w:tcPr>
          <w:p w14:paraId="0DF58359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3FDD4F65" w14:textId="77777777" w:rsidTr="00B63432">
        <w:trPr>
          <w:trHeight w:val="389"/>
        </w:trPr>
        <w:tc>
          <w:tcPr>
            <w:tcW w:w="3686" w:type="dxa"/>
          </w:tcPr>
          <w:p w14:paraId="4812989C" w14:textId="2B63749C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ECOG 2-4</w:t>
            </w:r>
          </w:p>
        </w:tc>
        <w:tc>
          <w:tcPr>
            <w:tcW w:w="1151" w:type="dxa"/>
          </w:tcPr>
          <w:p w14:paraId="0C756CD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18/168</w:t>
            </w:r>
          </w:p>
        </w:tc>
        <w:tc>
          <w:tcPr>
            <w:tcW w:w="994" w:type="dxa"/>
          </w:tcPr>
          <w:p w14:paraId="0FDC6718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10.7%</w:t>
            </w:r>
          </w:p>
        </w:tc>
        <w:tc>
          <w:tcPr>
            <w:tcW w:w="1360" w:type="dxa"/>
          </w:tcPr>
          <w:p w14:paraId="156BBD0B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32/377</w:t>
            </w:r>
          </w:p>
        </w:tc>
        <w:tc>
          <w:tcPr>
            <w:tcW w:w="1174" w:type="dxa"/>
          </w:tcPr>
          <w:p w14:paraId="614000BF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8.5%</w:t>
            </w:r>
          </w:p>
        </w:tc>
        <w:tc>
          <w:tcPr>
            <w:tcW w:w="1150" w:type="dxa"/>
            <w:vMerge/>
          </w:tcPr>
          <w:p w14:paraId="6F69909A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014CDDD8" w14:textId="77777777" w:rsidTr="00B63432">
        <w:trPr>
          <w:trHeight w:val="389"/>
        </w:trPr>
        <w:tc>
          <w:tcPr>
            <w:tcW w:w="8365" w:type="dxa"/>
            <w:gridSpan w:val="5"/>
          </w:tcPr>
          <w:p w14:paraId="2A09EBF6" w14:textId="210B3531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Obesity</w:t>
            </w:r>
          </w:p>
        </w:tc>
        <w:tc>
          <w:tcPr>
            <w:tcW w:w="1150" w:type="dxa"/>
          </w:tcPr>
          <w:p w14:paraId="59ADF2E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B63432" w:rsidRPr="00B63432" w14:paraId="0B280F2D" w14:textId="77777777" w:rsidTr="00B63432">
        <w:trPr>
          <w:trHeight w:val="389"/>
        </w:trPr>
        <w:tc>
          <w:tcPr>
            <w:tcW w:w="3686" w:type="dxa"/>
          </w:tcPr>
          <w:p w14:paraId="7CE74AFB" w14:textId="254732EB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No</w:t>
            </w:r>
          </w:p>
        </w:tc>
        <w:tc>
          <w:tcPr>
            <w:tcW w:w="1151" w:type="dxa"/>
          </w:tcPr>
          <w:p w14:paraId="50348322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127/161</w:t>
            </w:r>
          </w:p>
        </w:tc>
        <w:tc>
          <w:tcPr>
            <w:tcW w:w="994" w:type="dxa"/>
          </w:tcPr>
          <w:p w14:paraId="09978FCA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78.9%</w:t>
            </w:r>
          </w:p>
        </w:tc>
        <w:tc>
          <w:tcPr>
            <w:tcW w:w="1360" w:type="dxa"/>
          </w:tcPr>
          <w:p w14:paraId="1673E318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250/342</w:t>
            </w:r>
          </w:p>
        </w:tc>
        <w:tc>
          <w:tcPr>
            <w:tcW w:w="1174" w:type="dxa"/>
          </w:tcPr>
          <w:p w14:paraId="76DBD7B9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73.1%</w:t>
            </w:r>
          </w:p>
        </w:tc>
        <w:tc>
          <w:tcPr>
            <w:tcW w:w="1150" w:type="dxa"/>
            <w:vMerge w:val="restart"/>
          </w:tcPr>
          <w:p w14:paraId="6AEFC366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0.198</w:t>
            </w:r>
          </w:p>
        </w:tc>
      </w:tr>
      <w:tr w:rsidR="00B63432" w:rsidRPr="00B63432" w14:paraId="7A4DEE81" w14:textId="77777777" w:rsidTr="00607485">
        <w:trPr>
          <w:trHeight w:val="389"/>
        </w:trPr>
        <w:tc>
          <w:tcPr>
            <w:tcW w:w="3686" w:type="dxa"/>
            <w:tcBorders>
              <w:bottom w:val="single" w:sz="4" w:space="0" w:color="000000"/>
            </w:tcBorders>
          </w:tcPr>
          <w:p w14:paraId="1ADAF336" w14:textId="47E16E27" w:rsidR="00B63432" w:rsidRPr="00B63432" w:rsidRDefault="00B63432" w:rsidP="00B63432">
            <w:pPr>
              <w:spacing w:before="100" w:after="100" w:line="360" w:lineRule="auto"/>
              <w:ind w:left="100" w:right="10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 xml:space="preserve">   </w:t>
            </w:r>
            <w:r w:rsidRPr="00B63432">
              <w:rPr>
                <w:rFonts w:ascii="Arial" w:eastAsia="Arial" w:hAnsi="Arial" w:cs="Arial"/>
                <w:bCs/>
                <w:sz w:val="20"/>
                <w:szCs w:val="20"/>
                <w:lang w:val="en-US"/>
                <w14:ligatures w14:val="standardContextual"/>
              </w:rPr>
              <w:t>Yes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5CB12B7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34/161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13DE688D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21.1%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14:paraId="565DB2A7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92/342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39B8ACE" w14:textId="77777777" w:rsidR="00B63432" w:rsidRPr="00B63432" w:rsidRDefault="00B63432" w:rsidP="00B63432">
            <w:pPr>
              <w:spacing w:before="100" w:after="100" w:line="360" w:lineRule="auto"/>
              <w:ind w:left="100" w:right="100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  <w:r w:rsidRPr="00B63432"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  <w:t>26.9%</w:t>
            </w: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14:paraId="6128EE61" w14:textId="77777777" w:rsidR="00B63432" w:rsidRPr="00B63432" w:rsidRDefault="00B63432" w:rsidP="00B6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62CE0E4E" w14:textId="3873FB31" w:rsidR="00B63432" w:rsidRPr="00B63432" w:rsidRDefault="00B63432" w:rsidP="00B63432">
      <w:p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en-US"/>
          <w14:ligatures w14:val="standardContextual"/>
        </w:rPr>
      </w:pPr>
      <w:r w:rsidRPr="00B63432">
        <w:rPr>
          <w:rFonts w:ascii="Arial" w:eastAsia="Arial" w:hAnsi="Arial" w:cs="Arial"/>
          <w:color w:val="000000"/>
          <w:sz w:val="18"/>
          <w:szCs w:val="18"/>
          <w:lang w:val="en-US"/>
          <w14:ligatures w14:val="standardContextual"/>
        </w:rPr>
        <w:t>ECOG</w:t>
      </w:r>
      <w:r w:rsidRPr="00607485">
        <w:rPr>
          <w:rFonts w:ascii="Arial" w:eastAsia="Arial" w:hAnsi="Arial" w:cs="Arial"/>
          <w:color w:val="000000"/>
          <w:sz w:val="18"/>
          <w:szCs w:val="18"/>
          <w:lang w:val="en-US"/>
          <w14:ligatures w14:val="standardContextual"/>
        </w:rPr>
        <w:t xml:space="preserve">: </w:t>
      </w:r>
      <w:r w:rsidRPr="00B63432">
        <w:rPr>
          <w:rFonts w:ascii="Arial" w:eastAsia="Arial" w:hAnsi="Arial" w:cs="Arial"/>
          <w:color w:val="000000"/>
          <w:sz w:val="18"/>
          <w:szCs w:val="18"/>
          <w:lang w:val="en-US"/>
          <w14:ligatures w14:val="standardContextual"/>
        </w:rPr>
        <w:t>Eastern Cooperative Oncology Group</w:t>
      </w:r>
      <w:r w:rsidRPr="00607485">
        <w:rPr>
          <w:rFonts w:ascii="Arial" w:eastAsia="Arial" w:hAnsi="Arial" w:cs="Arial"/>
          <w:color w:val="000000"/>
          <w:sz w:val="18"/>
          <w:szCs w:val="18"/>
          <w:lang w:val="en-US"/>
          <w14:ligatures w14:val="standardContextual"/>
        </w:rPr>
        <w:t>.</w:t>
      </w:r>
    </w:p>
    <w:p w14:paraId="1607B2FC" w14:textId="2DCE441A" w:rsidR="00B63432" w:rsidRPr="00B63432" w:rsidRDefault="00B63432" w:rsidP="00B63432">
      <w:pPr>
        <w:spacing w:after="0" w:line="360" w:lineRule="auto"/>
        <w:rPr>
          <w:rFonts w:ascii="Arial" w:eastAsia="Arial" w:hAnsi="Arial" w:cs="Arial"/>
          <w:sz w:val="18"/>
          <w:szCs w:val="18"/>
          <w:lang w:val="en-US"/>
          <w14:ligatures w14:val="standardContextual"/>
        </w:rPr>
      </w:pPr>
      <w:r w:rsidRPr="00607485">
        <w:rPr>
          <w:rFonts w:ascii="Arial" w:eastAsia="Arial" w:hAnsi="Arial" w:cs="Arial"/>
          <w:sz w:val="18"/>
          <w:szCs w:val="18"/>
          <w:vertAlign w:val="superscript"/>
          <w:lang w:val="en-US"/>
          <w14:ligatures w14:val="standardContextual"/>
        </w:rPr>
        <w:lastRenderedPageBreak/>
        <w:t>a</w:t>
      </w:r>
      <w:r w:rsidRPr="00607485">
        <w:rPr>
          <w:rFonts w:ascii="Arial" w:eastAsia="Arial" w:hAnsi="Arial" w:cs="Arial"/>
          <w:sz w:val="18"/>
          <w:szCs w:val="18"/>
          <w:lang w:val="en-US"/>
          <w14:ligatures w14:val="standardContextual"/>
        </w:rPr>
        <w:t xml:space="preserve"> </w:t>
      </w:r>
      <w:r w:rsidRPr="00B63432">
        <w:rPr>
          <w:rFonts w:ascii="Arial" w:eastAsia="Arial" w:hAnsi="Arial" w:cs="Arial"/>
          <w:sz w:val="18"/>
          <w:szCs w:val="18"/>
          <w:lang w:val="en-US"/>
          <w14:ligatures w14:val="standardContextual"/>
        </w:rPr>
        <w:t>Testicular, Prostate, Breast, Gastrointestinal Stromal Tumor</w:t>
      </w:r>
    </w:p>
    <w:p w14:paraId="406A2F8F" w14:textId="64AF0BB8" w:rsidR="00B63432" w:rsidRPr="00B63432" w:rsidRDefault="00B63432" w:rsidP="00B63432">
      <w:pPr>
        <w:spacing w:after="0" w:line="360" w:lineRule="auto"/>
        <w:rPr>
          <w:rFonts w:ascii="Arial" w:eastAsia="Arial" w:hAnsi="Arial" w:cs="Arial"/>
          <w:sz w:val="18"/>
          <w:szCs w:val="18"/>
          <w:lang w:val="en-US"/>
          <w14:ligatures w14:val="standardContextual"/>
        </w:rPr>
      </w:pPr>
      <w:r w:rsidRPr="00B63432">
        <w:rPr>
          <w:rFonts w:ascii="Arial" w:eastAsia="Arial" w:hAnsi="Arial" w:cs="Arial"/>
          <w:sz w:val="18"/>
          <w:szCs w:val="18"/>
          <w:vertAlign w:val="superscript"/>
          <w:lang w:val="en-US"/>
          <w14:ligatures w14:val="standardContextual"/>
        </w:rPr>
        <w:t>b</w:t>
      </w:r>
      <w:r w:rsidRPr="00B63432">
        <w:rPr>
          <w:rFonts w:ascii="Arial" w:eastAsia="Arial" w:hAnsi="Arial" w:cs="Arial"/>
          <w:sz w:val="18"/>
          <w:szCs w:val="18"/>
          <w:lang w:val="en-US"/>
          <w14:ligatures w14:val="standardContextual"/>
        </w:rPr>
        <w:t xml:space="preserve"> Anal, Penile, Cervical, Colorectal, Soft tissue and bone sarcomas, Melanoma, Endometrial Renal, Head and Neck, Bladder, Ovarian, vulvovaginal, non-melanoma skin cancer</w:t>
      </w:r>
    </w:p>
    <w:p w14:paraId="44AF5BC3" w14:textId="7A46DDE2" w:rsidR="00B63432" w:rsidRPr="00B63432" w:rsidRDefault="00B63432" w:rsidP="00B63432">
      <w:pPr>
        <w:spacing w:after="0" w:line="360" w:lineRule="auto"/>
        <w:rPr>
          <w:rFonts w:ascii="Arial" w:eastAsia="Arial" w:hAnsi="Arial" w:cs="Arial"/>
          <w:sz w:val="18"/>
          <w:szCs w:val="18"/>
          <w:lang w:val="en-US"/>
          <w14:ligatures w14:val="standardContextual"/>
        </w:rPr>
      </w:pPr>
      <w:r w:rsidRPr="00B63432">
        <w:rPr>
          <w:rFonts w:ascii="Arial" w:eastAsia="Arial" w:hAnsi="Arial" w:cs="Arial"/>
          <w:sz w:val="18"/>
          <w:szCs w:val="18"/>
          <w:vertAlign w:val="superscript"/>
          <w:lang w:val="en-US"/>
          <w14:ligatures w14:val="standardContextual"/>
        </w:rPr>
        <w:t>c</w:t>
      </w:r>
      <w:r w:rsidRPr="00B63432">
        <w:rPr>
          <w:rFonts w:ascii="Arial" w:eastAsia="Arial" w:hAnsi="Arial" w:cs="Arial"/>
          <w:sz w:val="18"/>
          <w:szCs w:val="18"/>
          <w:lang w:val="en-US"/>
          <w14:ligatures w14:val="standardContextual"/>
        </w:rPr>
        <w:t xml:space="preserve"> Biliopancreatic, Hepatocarcinoma, Lung, Mesothelioma, Esophageal, Gastric, Central Nervous System cancer</w:t>
      </w:r>
    </w:p>
    <w:p w14:paraId="16602760" w14:textId="26B18392" w:rsidR="00B63432" w:rsidRPr="00B63432" w:rsidRDefault="00B63432" w:rsidP="00B63432">
      <w:pPr>
        <w:spacing w:after="0" w:line="360" w:lineRule="auto"/>
        <w:jc w:val="both"/>
        <w:rPr>
          <w:rFonts w:ascii="Arial" w:eastAsia="Arial" w:hAnsi="Arial" w:cs="Arial"/>
          <w:sz w:val="40"/>
          <w:szCs w:val="40"/>
          <w:shd w:val="clear" w:color="auto" w:fill="F8F9FA"/>
          <w:lang w:val="en-US"/>
          <w14:ligatures w14:val="standardContextual"/>
        </w:rPr>
      </w:pPr>
      <w:r w:rsidRPr="00B63432">
        <w:rPr>
          <w:rFonts w:ascii="Arial" w:eastAsia="Arial" w:hAnsi="Arial" w:cs="Arial"/>
          <w:sz w:val="18"/>
          <w:szCs w:val="18"/>
          <w:vertAlign w:val="superscript"/>
          <w:lang w:val="en-US"/>
          <w14:ligatures w14:val="standardContextual"/>
        </w:rPr>
        <w:t>d</w:t>
      </w:r>
      <w:r w:rsidRPr="00B63432">
        <w:rPr>
          <w:rFonts w:ascii="Arial" w:eastAsia="Arial" w:hAnsi="Arial" w:cs="Arial"/>
          <w:sz w:val="18"/>
          <w:szCs w:val="18"/>
          <w:lang w:val="en-US"/>
          <w14:ligatures w14:val="standardContextual"/>
        </w:rPr>
        <w:t xml:space="preserve"> Number of COVID-19 risk factors: smoking or former smoking, respiratory diseases, arterial hypertension, heart diseases, diabetes, immunodeficiencies/chronic use of corticosteroids, chronic kidney disease, chronic liver disease.</w:t>
      </w:r>
    </w:p>
    <w:p w14:paraId="514FC8B5" w14:textId="77777777" w:rsidR="00B63432" w:rsidRPr="00B63432" w:rsidRDefault="00B63432" w:rsidP="00B63432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B63432" w:rsidRPr="00B63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32"/>
    <w:rsid w:val="0006006E"/>
    <w:rsid w:val="00607485"/>
    <w:rsid w:val="00B6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29373"/>
  <w15:chartTrackingRefBased/>
  <w15:docId w15:val="{2022D929-CEC8-40C7-87D4-6FC393E1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Rodrigo Vargas Fernandez</dc:creator>
  <cp:keywords/>
  <dc:description/>
  <cp:lastModifiedBy>Juan Rodrigo Vargas Fernandez</cp:lastModifiedBy>
  <cp:revision>2</cp:revision>
  <dcterms:created xsi:type="dcterms:W3CDTF">2023-06-23T11:04:00Z</dcterms:created>
  <dcterms:modified xsi:type="dcterms:W3CDTF">2023-06-23T11:12:00Z</dcterms:modified>
</cp:coreProperties>
</file>