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MATERIAL SUPLEMENTARIO</w:t>
      </w:r>
    </w:p>
    <w:p w:rsidR="00000000" w:rsidDel="00000000" w:rsidP="00000000" w:rsidRDefault="00000000" w:rsidRPr="00000000" w14:paraId="00000002">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1. </w:t>
      </w:r>
      <w:r w:rsidDel="00000000" w:rsidR="00000000" w:rsidRPr="00000000">
        <w:rPr>
          <w:rFonts w:ascii="Arial" w:cs="Arial" w:eastAsia="Arial" w:hAnsi="Arial"/>
          <w:sz w:val="20"/>
          <w:szCs w:val="20"/>
          <w:rtl w:val="0"/>
        </w:rPr>
        <w:t xml:space="preserve">Características de las atenciones del servicio de telesalud del HRHD desde mayo del 2021 a enero 2022. </w:t>
      </w:r>
      <w:r w:rsidDel="00000000" w:rsidR="00000000" w:rsidRPr="00000000">
        <w:rPr>
          <w:rFonts w:ascii="Arial" w:cs="Arial" w:eastAsia="Arial" w:hAnsi="Arial"/>
          <w:sz w:val="20"/>
          <w:szCs w:val="20"/>
          <w:highlight w:val="white"/>
          <w:rtl w:val="0"/>
        </w:rPr>
        <w:t xml:space="preserve">Ante la emergencia sanitaria, el HRHD tuvo que implementar el sistema de telesalud de forma acelerada para dar respuesta a la pandemia lo más pronto posible. Se empezó a operar en agosto del 2020.</w:t>
      </w:r>
      <w:r w:rsidDel="00000000" w:rsidR="00000000" w:rsidRPr="00000000">
        <w:rPr>
          <w:rFonts w:ascii="Arial" w:cs="Arial" w:eastAsia="Arial" w:hAnsi="Arial"/>
          <w:sz w:val="20"/>
          <w:szCs w:val="20"/>
          <w:rtl w:val="0"/>
        </w:rPr>
        <w:t xml:space="preserve"> El primer registro digital que se tiene en la plataforma “Teleatiendo” corresponde al mes de mayo del 2021 e inició con 4951 atenciones. La mayor cantidad de atenciones fue en enero del 2022 (10714 pacientes). En el </w:t>
      </w:r>
      <w:r w:rsidDel="00000000" w:rsidR="00000000" w:rsidRPr="00000000">
        <w:rPr>
          <w:rFonts w:ascii="Arial" w:cs="Arial" w:eastAsia="Arial" w:hAnsi="Arial"/>
          <w:b w:val="1"/>
          <w:sz w:val="20"/>
          <w:szCs w:val="20"/>
          <w:rtl w:val="0"/>
        </w:rPr>
        <w:t xml:space="preserve">anexo 1a</w:t>
      </w:r>
      <w:r w:rsidDel="00000000" w:rsidR="00000000" w:rsidRPr="00000000">
        <w:rPr>
          <w:rFonts w:ascii="Arial" w:cs="Arial" w:eastAsia="Arial" w:hAnsi="Arial"/>
          <w:sz w:val="20"/>
          <w:szCs w:val="20"/>
          <w:rtl w:val="0"/>
        </w:rPr>
        <w:t xml:space="preserve">, se muestra la evolución de las atenciones, mostrando que se redujeron ligeramente entre los meses de septiembre a diciembre del 2021.  En el </w:t>
      </w:r>
      <w:r w:rsidDel="00000000" w:rsidR="00000000" w:rsidRPr="00000000">
        <w:rPr>
          <w:rFonts w:ascii="Arial" w:cs="Arial" w:eastAsia="Arial" w:hAnsi="Arial"/>
          <w:b w:val="1"/>
          <w:sz w:val="20"/>
          <w:szCs w:val="20"/>
          <w:rtl w:val="0"/>
        </w:rPr>
        <w:t xml:space="preserve">anexo 1b</w:t>
      </w:r>
      <w:r w:rsidDel="00000000" w:rsidR="00000000" w:rsidRPr="00000000">
        <w:rPr>
          <w:rFonts w:ascii="Arial" w:cs="Arial" w:eastAsia="Arial" w:hAnsi="Arial"/>
          <w:sz w:val="20"/>
          <w:szCs w:val="20"/>
          <w:rtl w:val="0"/>
        </w:rPr>
        <w:t xml:space="preserve">, la mayor cantidad de pacientes que fueron atendidos tenían seguro de salud SIS, y en el </w:t>
      </w:r>
      <w:r w:rsidDel="00000000" w:rsidR="00000000" w:rsidRPr="00000000">
        <w:rPr>
          <w:rFonts w:ascii="Arial" w:cs="Arial" w:eastAsia="Arial" w:hAnsi="Arial"/>
          <w:b w:val="1"/>
          <w:sz w:val="20"/>
          <w:szCs w:val="20"/>
          <w:rtl w:val="0"/>
        </w:rPr>
        <w:t xml:space="preserve">anexo 1c</w:t>
      </w:r>
      <w:r w:rsidDel="00000000" w:rsidR="00000000" w:rsidRPr="00000000">
        <w:rPr>
          <w:rFonts w:ascii="Arial" w:cs="Arial" w:eastAsia="Arial" w:hAnsi="Arial"/>
          <w:sz w:val="20"/>
          <w:szCs w:val="20"/>
          <w:rtl w:val="0"/>
        </w:rPr>
        <w:t xml:space="preserve">, hubo una notable disminución de atenciones mensuales a pacientes de Arequipa-Perú desde el mes de mayo del 2021 (77,9%) para incrementar las atenciones en otras provincias para enero del 2022 (47,1%).</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396865" cy="3578225"/>
            <wp:docPr id="8" name=""/>
            <a:graphic>
              <a:graphicData uri="http://schemas.openxmlformats.org/drawingml/2006/chart">
                <c:chart r:id="rId7"/>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396230" cy="2920365"/>
            <wp:docPr id="10"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5395595" cy="2950210"/>
            <wp:docPr id="9"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2:</w:t>
      </w:r>
      <w:r w:rsidDel="00000000" w:rsidR="00000000" w:rsidRPr="00000000">
        <w:rPr>
          <w:rFonts w:ascii="Arial" w:cs="Arial" w:eastAsia="Arial" w:hAnsi="Arial"/>
          <w:sz w:val="20"/>
          <w:szCs w:val="20"/>
          <w:rtl w:val="0"/>
        </w:rPr>
        <w:t xml:space="preserve"> Sugerencias y comentarios del personal de salud médico que respondieron cualitativamente al finalizar la encuesta (N=35)</w:t>
      </w:r>
    </w:p>
    <w:tbl>
      <w:tblPr>
        <w:tblStyle w:val="Table1"/>
        <w:tblW w:w="9760.0" w:type="dxa"/>
        <w:jc w:val="left"/>
        <w:tblInd w:w="-709.0" w:type="dxa"/>
        <w:tblLayout w:type="fixed"/>
        <w:tblLook w:val="0400"/>
      </w:tblPr>
      <w:tblGrid>
        <w:gridCol w:w="3100"/>
        <w:gridCol w:w="5020"/>
        <w:gridCol w:w="1640"/>
        <w:tblGridChange w:id="0">
          <w:tblGrid>
            <w:gridCol w:w="3100"/>
            <w:gridCol w:w="5020"/>
            <w:gridCol w:w="1640"/>
          </w:tblGrid>
        </w:tblGridChange>
      </w:tblGrid>
      <w:tr>
        <w:trPr>
          <w:cantSplit w:val="0"/>
          <w:trHeight w:val="51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Conclusión</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Comentario representativo</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de comentarios</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telesalud no ayuda en el campo quirúrgico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campo quirúrgico necesitamos ver y examinar al paciente y no podemos hacer nada, apenas preguntar cómo se siente, que le duele. Cuando pedimos que nos manden una foto muchas veces no se ve bien”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Cada actualización de la plataforma Teleatiendo genera confusión en los médicos.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cada actualización de la plataforma Teleatiendo cambian algunas cosas que hacen que confunden”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w:t>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plataforma Teleatiendo no se encuentra sincronizada con las historias físicas de los pacientes.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“Todo lo que hemos atendido no está en la historia hospitalaria, es como si no hubiéramos dado tratamiento al paciente”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Hay problemas al generar recetas y con los códigos CIE 10. La plataforma brinda opciones limitadas.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“Deberían mejorar la plataforma, por ejemplo, en la primera versión de la plataforma, las recetas yo las podía escribir y ahora no se puede. No puedo hacer recetas específicas para el paciente”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plataforma Teleatiendo colapsa en los horarios de la mañana debido a la cantidad de atenciones que se generan.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plataforma Teleatiendo es lenta cuando yo atiendo a pacientes debo hacerlo a través de otros sistemas y después paso los datos es decir para siempre saturada la plataforma de Teleatiendo”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Debería de darse al menos una consulta presencial a los pacientes antes de ser atendidos remotamente.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“Pienso que la mayoría de pacientes que son vistos por teleconsulta deberían tener al menos una consulta presencial. La mayoría de veces hacemos seguimiento y son pacientes que nunca hemos visto de manera presencial”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Debería hacerse uso de videollamada y existir un medio para que los pacientes envíen sus fotos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teleconsulta mejoraría si se hiciera usa de videollamada no solo de llamada”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hay un buen registro de datos de los pacientes por ejemplo en el número de DNI o número de celular”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“Hay un mal acopio de información. La información de los pacientes es mala El número, nombre es equivocado. Cuando se atiende </w:t>
            </w:r>
            <w:r w:rsidDel="00000000" w:rsidR="00000000" w:rsidRPr="00000000">
              <w:rPr>
                <w:rFonts w:ascii="Arial" w:cs="Arial" w:eastAsia="Arial" w:hAnsi="Arial"/>
                <w:sz w:val="20"/>
                <w:szCs w:val="20"/>
                <w:rtl w:val="0"/>
              </w:rPr>
              <w:t xml:space="preserve">venezolanos </w:t>
            </w:r>
            <w:r w:rsidDel="00000000" w:rsidR="00000000" w:rsidRPr="00000000">
              <w:rPr>
                <w:rFonts w:ascii="Arial" w:cs="Arial" w:eastAsia="Arial" w:hAnsi="Arial"/>
                <w:sz w:val="20"/>
                <w:szCs w:val="20"/>
                <w:rtl w:val="0"/>
              </w:rPr>
              <w:t xml:space="preserve">nunca acepta el carnet de extranjería”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51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Están saturando el horario de los médicos sus horarios de trabajo</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“Nos están saturando de pacientes, nos programan pacientes en días libres”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2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14:paraId="00000025">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3:</w:t>
      </w:r>
      <w:r w:rsidDel="00000000" w:rsidR="00000000" w:rsidRPr="00000000">
        <w:rPr>
          <w:rFonts w:ascii="Arial" w:cs="Arial" w:eastAsia="Arial" w:hAnsi="Arial"/>
          <w:sz w:val="20"/>
          <w:szCs w:val="20"/>
          <w:rtl w:val="0"/>
        </w:rPr>
        <w:t xml:space="preserve"> Sugerencias y comentarios del personal de salud no médico que respondieron cualitativamente al finalizar la encuesta (N=27)</w:t>
      </w:r>
    </w:p>
    <w:tbl>
      <w:tblPr>
        <w:tblStyle w:val="Table2"/>
        <w:tblW w:w="9760.0" w:type="dxa"/>
        <w:jc w:val="left"/>
        <w:tblInd w:w="-709.0" w:type="dxa"/>
        <w:tblLayout w:type="fixed"/>
        <w:tblLook w:val="0400"/>
      </w:tblPr>
      <w:tblGrid>
        <w:gridCol w:w="3100"/>
        <w:gridCol w:w="5020"/>
        <w:gridCol w:w="1640"/>
        <w:tblGridChange w:id="0">
          <w:tblGrid>
            <w:gridCol w:w="3100"/>
            <w:gridCol w:w="5020"/>
            <w:gridCol w:w="1640"/>
          </w:tblGrid>
        </w:tblGridChange>
      </w:tblGrid>
      <w:tr>
        <w:trPr>
          <w:cantSplit w:val="0"/>
          <w:trHeight w:val="510"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Conclusión</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Comentario representativo</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de comentarios</w:t>
            </w:r>
          </w:p>
        </w:tc>
      </w:tr>
      <w:tr>
        <w:trPr>
          <w:cantSplit w:val="0"/>
          <w:trHeight w:val="1020"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Falta de coordinación entre centros de salud y DIRESA.</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“Recomienda que la información debe ser actualizada, si todas las páginas de bases de datos de los centros de salud actualizaran los datos, se manejaría mejor al paciente”</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pacientes y sus familiares desconfían cuando reciben una llamada del hospital por falta de información acerca de la telemedicina.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comunidad no estaba informada sobre este tipo de trabajo remoto y la gente no quería colaborar”</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Hay una falta de capacitaciones para todo el personal de salud acerca del uso de tecnología y telemedicina.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“Todo el personal de Salud debería saber sobre telemedicina, antes solo eran los médicos que la utilizaban, pero ahora otros servicios debieron aprender aceleradamente sobre el uso de la telemedicina”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Deficiencias con la plataforma de “Teleatiendo”.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hubiera gustado que el servicio de teleorientación cuente con material multimedia para hacer más práctico las indicaciones y lograr una mejor comprensión”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cantSplit w:val="0"/>
          <w:trHeight w:val="17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Mal uso de la línea 113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línea 113 está siendo mal utilizada, las personas llaman para preguntar "En donde, cuando me vacunado" cuando esa información ya fue dada por la página del ministerio, pacientes piensan que este es un multiservicio en el que solicitan incluso el envío de médicos a domicilio (principalmente personas de estrato social alto) según refiere”</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rHeight w:val="1020"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Lado positivo del telemonitoreo.</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trabajo remoto sirve mucho a los familiares del paciente, respecto a la forma de comprender la enfermedad, medicación (especialmente en pacientes psiquiátricos)”</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14:paraId="0000003C">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4:</w:t>
      </w:r>
      <w:r w:rsidDel="00000000" w:rsidR="00000000" w:rsidRPr="00000000">
        <w:rPr>
          <w:rFonts w:ascii="Arial" w:cs="Arial" w:eastAsia="Arial" w:hAnsi="Arial"/>
          <w:sz w:val="20"/>
          <w:szCs w:val="20"/>
          <w:rtl w:val="0"/>
        </w:rPr>
        <w:t xml:space="preserve"> Sugerencias y comentarios de los pacientes que respondieron cualitativamente al finalizar la encuesta (N=35)</w:t>
      </w:r>
    </w:p>
    <w:tbl>
      <w:tblPr>
        <w:tblStyle w:val="Table3"/>
        <w:tblW w:w="9760.0" w:type="dxa"/>
        <w:jc w:val="left"/>
        <w:tblInd w:w="-709.0" w:type="dxa"/>
        <w:tblLayout w:type="fixed"/>
        <w:tblLook w:val="0400"/>
      </w:tblPr>
      <w:tblGrid>
        <w:gridCol w:w="3100"/>
        <w:gridCol w:w="5020"/>
        <w:gridCol w:w="1640"/>
        <w:tblGridChange w:id="0">
          <w:tblGrid>
            <w:gridCol w:w="3100"/>
            <w:gridCol w:w="5020"/>
            <w:gridCol w:w="1640"/>
          </w:tblGrid>
        </w:tblGridChange>
      </w:tblGrid>
      <w:tr>
        <w:trPr>
          <w:cantSplit w:val="0"/>
          <w:trHeight w:val="510" w:hRule="atLeast"/>
          <w:tblHeader w:val="0"/>
        </w:trPr>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Conclusión</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Comentario representativo</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4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de comentarios</w:t>
            </w:r>
          </w:p>
        </w:tc>
      </w:tr>
      <w:tr>
        <w:trPr>
          <w:cantSplit w:val="0"/>
          <w:trHeight w:val="102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Preferencia de atención presencial, aunque se reconoce la efectividad de la telemedicina en la pandemia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“Prefiero que sea presencial la atención”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principales factores identificados son: el número de veces que se tiene que llamar para ser atendido (hasta 15 veces), atención poco cordial.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única recomendación es mejorar el sistema de cómo sacar citas, tiene que llamar muchas veces para obtener una cita”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Falta de efectividad y rapidez en la atención de especialistas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“Sería buena si las respuestas fueran inmediatas; muchas veces los médicos no informan sobre su enfermedad, le dejan más dudas”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cantSplit w:val="0"/>
          <w:trHeight w:val="178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pacientes identifican como principales dificultades: falta de instrucciones en el uso del sistema, falta de actualización rápida y continua de la base de datos que incluye: programación de operaciones, recetas.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“Deberían de dar más información acerca de las llamadas”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w:t>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Mala identificación y trato del personal de salud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“Deberían ser más empáticos los doctores”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w:t>
            </w:r>
          </w:p>
        </w:tc>
      </w:tr>
      <w:tr>
        <w:trPr>
          <w:cantSplit w:val="0"/>
          <w:trHeight w:val="127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sugiere la capacitación del adulto mayor para con el uso del sistema, así como otra modalidad de contacto, ya que la llamada telefónica dificulta la atención.</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los adultos mayores debería haber algún taller, u otra modalidad”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3">
            <w:pPr>
              <w:spacing w:after="0" w:line="240" w:lineRule="auto"/>
              <w:jc w:val="center"/>
              <w:rPr>
                <w:rFonts w:ascii="Arial" w:cs="Arial" w:eastAsia="Arial" w:hAnsi="Arial"/>
                <w:sz w:val="20"/>
                <w:szCs w:val="20"/>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“Mal trato por los médicos, salía con los mismos síntomas”</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7 </w:t>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Falta orientación y paciencia hacia los pacientes </w:t>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7">
            <w:pPr>
              <w:widowControl w:val="0"/>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8">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Solo un comentario, bue positivo, respecto a la atención en general.</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 muy grata”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r>
      <w:tr>
        <w:trPr>
          <w:cantSplit w:val="0"/>
          <w:trHeight w:val="76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Dificultad de los pacientes en la comunicación de los síntomas hacia el médico.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Resulta difícil de expresar tus síntomas al médico</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5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r>
      <w:tr>
        <w:trPr>
          <w:cantSplit w:val="0"/>
          <w:trHeight w:val="765" w:hRule="atLeast"/>
          <w:tblHeader w:val="0"/>
        </w:trPr>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Falta de información y atención brindada.</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le dicen nada, no le dan tratamiento; los Dres. le dicen que le llamaran y no le llaman, sacan cita de nuevo, pero no les atienden”</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bl>
    <w:p w:rsidR="00000000" w:rsidDel="00000000" w:rsidP="00000000" w:rsidRDefault="00000000" w:rsidRPr="00000000" w14:paraId="00000062">
      <w:pPr>
        <w:spacing w:line="36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5: </w:t>
      </w:r>
      <w:r w:rsidDel="00000000" w:rsidR="00000000" w:rsidRPr="00000000">
        <w:rPr>
          <w:rFonts w:ascii="Arial" w:cs="Arial" w:eastAsia="Arial" w:hAnsi="Arial"/>
          <w:sz w:val="20"/>
          <w:szCs w:val="20"/>
          <w:rtl w:val="0"/>
        </w:rPr>
        <w:t xml:space="preserve">Herramienta de medición del nivel de madurez de las instituciones de salud para implementar servicios de telemedicina</w:t>
      </w:r>
    </w:p>
    <w:tbl>
      <w:tblPr>
        <w:tblStyle w:val="Table4"/>
        <w:tblW w:w="11660.0" w:type="dxa"/>
        <w:jc w:val="left"/>
        <w:tblInd w:w="-1565.0" w:type="dxa"/>
        <w:tblLayout w:type="fixed"/>
        <w:tblLook w:val="0400"/>
      </w:tblPr>
      <w:tblGrid>
        <w:gridCol w:w="580"/>
        <w:gridCol w:w="6945"/>
        <w:gridCol w:w="1015"/>
        <w:gridCol w:w="1019"/>
        <w:gridCol w:w="1085"/>
        <w:gridCol w:w="1016"/>
        <w:tblGridChange w:id="0">
          <w:tblGrid>
            <w:gridCol w:w="580"/>
            <w:gridCol w:w="6945"/>
            <w:gridCol w:w="1015"/>
            <w:gridCol w:w="1019"/>
            <w:gridCol w:w="1085"/>
            <w:gridCol w:w="1016"/>
          </w:tblGrid>
        </w:tblGridChange>
      </w:tblGrid>
      <w:tr>
        <w:trPr>
          <w:cantSplit w:val="0"/>
          <w:trHeight w:val="270" w:hRule="atLeast"/>
          <w:tblHeader w:val="0"/>
        </w:trPr>
        <w:tc>
          <w:tcPr>
            <w:vMerge w:val="restart"/>
            <w:tcBorders>
              <w:top w:color="000000"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4">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Ítem</w:t>
            </w:r>
          </w:p>
        </w:tc>
        <w:tc>
          <w:tcPr>
            <w:vMerge w:val="restart"/>
            <w:tcBorders>
              <w:top w:color="000000"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5">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Pregunta</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6">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Nulo</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7">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Iniciado</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Avanzado</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9">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Listo</w:t>
            </w:r>
          </w:p>
        </w:tc>
      </w:tr>
      <w:tr>
        <w:trPr>
          <w:cantSplit w:val="0"/>
          <w:trHeight w:val="270" w:hRule="atLeast"/>
          <w:tblHeader w:val="0"/>
        </w:trPr>
        <w:tc>
          <w:tcPr>
            <w:vMerge w:val="continue"/>
            <w:tcBorders>
              <w:top w:color="000000"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Merge w:val="continue"/>
            <w:tcBorders>
              <w:top w:color="000000"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C">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D">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E">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tcBorders>
              <w:top w:color="000000" w:space="0" w:sz="4" w:val="single"/>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06F">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r>
      <w:tr>
        <w:trPr>
          <w:cantSplit w:val="0"/>
          <w:trHeight w:val="270"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070">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 PREPARACIÓN ORGANIZACIONAL</w:t>
            </w:r>
          </w:p>
        </w:tc>
      </w:tr>
      <w:tr>
        <w:trPr>
          <w:cantSplit w:val="0"/>
          <w:trHeight w:val="2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7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la alta gerencia decidida a ofrecer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7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comprende claramente qué servicios pueden ofrecerse a través de la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7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8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identificado los servicios que se ofrecerán vía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8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dispone de presupuesto para ofrecer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48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8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8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capacitado el personal informático para prestar servicios de apoyo a la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48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9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¿Permiten los marcos regulatorios nacionales o locales la implementación de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r>
      <w:tr>
        <w:trPr>
          <w:cantSplit w:val="0"/>
          <w:trHeight w:val="2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9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la institución con acceso estable a internet?</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9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7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A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la institución con algún programa de telemedicina en funcionamiento?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2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A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la institución con alguna iniciativa de uso de mensajería instantánea o de texto para la promoción de la salud?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A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¿Tiene la institución alguna experiencia en la prestación de servicios a través de consultas virtuales?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A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B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¿Tiene la institución alguna experiencia en el seguimiento remoto de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B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¿Podría extenderse el financiamiento de los servicios de telemedicina más allá de la planificación y el período inicial y el piloto, para convertirse en un modelo sostenible?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B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B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capacitado el personal médico para prestar servicios de telemedicina? Véase el apartado «Recursos humanos» más adelante para obtener más detalles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C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la respuesta anterior es 1 o 2, ¿Se han establecido opciones de formación y capacitación en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C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la institución con la infraestructura necesaria para prestar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C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D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15.a. Espacio adecuado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D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15.b. Suministro estable de electricidad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D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15.c. Iluminación aceptable.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D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E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15.d. Equipos de apoyo.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E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designado a una persona para actuar como responsable de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E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E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el personal médico de acuerdo con ofrecer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F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trabajado en la resistencia al cambio de rutinas en las que los médicos se sienten seguros y confortables por una nueva y desconocida que implica cierto grado de incertidumbre inicial?</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F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su respuesta anterior es 1 o 2, ¿Se puede solucionar este problema con diálogos participativos?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0F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0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establecido algún mecanismo de incentivación para usar la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0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¿Conoce el personal médico las prácticas de privacidad y seguridad basadas en los principios éticos y legales vigentes?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0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definido la carga de trabajo que supone poner en marcha este tipo de programas en el entorno actual?</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0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1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cuenta con el apoyo de alguna institución especializada en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1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comunicado al personal de la institución la intención de implementar o fortalecer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1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1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comunicado a los potenciales beneficiarios de los servicios de telemedicina su apertura o fortalecimiento?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2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cambiado las agendas de la atención a los pacientes por la necesidad de consultas no presenciales?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2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¿Qué nivel de aceptación de los servicios de telemedicina se espera de sus potenciales beneficiarios?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2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3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alguna barrera cultural o lingüística que pueda ocasionar dificultades durante la prestación de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3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conoce el nivel de conectividad de los potenciales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3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conoce el nivel de alfabetización digital de los potenciales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3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4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establecido mecanismos de gobernanza?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4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r>
      <w:tr>
        <w:trPr>
          <w:cantSplit w:val="0"/>
          <w:trHeight w:val="255"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14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32</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4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establecido mecanismos de evaluación continua?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4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4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4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4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14E">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 PROCESOS</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5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definido las funciones, los roles y las responsabilidades asociadas a los servicios de telemedicina para todo el personal que estará involucrado?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5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definido las funciones, los roles y las responsabilidades relacionadas con los servicios de telemedicina para todo el personal administrativo?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5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6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procesos definidos para abordar las consideraciones de seguridad del paciente y de responsabilidad legal institucional?</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6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procesos definidos para garantizar la seguridad, la confidencialidad, y la copia de los datos y de la información generadas durante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6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para registrar el estado de satisfacción del paciente de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6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7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para notificar incidentes o sucesos adversos ocurridos durante las consultas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7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estandarizados para comunicar y documentar posibles fallas técnicas durante una consulta que pudieran afectar a los resultados clínicos?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7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7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formales para obtener el consentimiento informado de los pacientes de manera remota?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8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o herramientas para que el personal médico y los pacientes puedan compartir sus preocupaciones, sugerencias o comentarios sobre cómo se va desarrollando el programa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8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una estrategia y un plan operativo que guíen a los proveedores de servicios de salud para que opten por las teleconsultas ambulatorias y al monitoreo remoto de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8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9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9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mecanismos de comunicación para informar y educar a la población sobre el uso recomendado de la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9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9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9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9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19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44</w:t>
            </w:r>
          </w:p>
        </w:tc>
        <w:tc>
          <w:tcPr>
            <w:tcBorders>
              <w:top w:color="000000" w:space="0" w:sz="0" w:val="nil"/>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19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procedimiento o plan de emergencia para cuando los médicos que practican la telemedicina consideren que se debe derivar al paciente a un centro de cuidados intensivos?</w:t>
            </w:r>
          </w:p>
        </w:tc>
        <w:tc>
          <w:tcPr>
            <w:tcBorders>
              <w:top w:color="000000" w:space="0" w:sz="0" w:val="nil"/>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19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19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19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19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19C">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 ENTORNO DIGITAL</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1A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CONEXIÓN A INTERNET Y CONECTIVIDAD</w:t>
            </w:r>
          </w:p>
        </w:tc>
      </w:tr>
      <w:tr>
        <w:trPr>
          <w:cantSplit w:val="0"/>
          <w:trHeight w:val="255" w:hRule="atLeast"/>
          <w:tblHeader w:val="0"/>
        </w:trPr>
        <w:tc>
          <w:tcPr>
            <w:tcBorders>
              <w:top w:color="000000"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A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45</w:t>
            </w:r>
          </w:p>
        </w:tc>
        <w:tc>
          <w:tcPr>
            <w:tcBorders>
              <w:top w:color="000000" w:space="0" w:sz="4" w:val="single"/>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dispone de un servicio de conexión a internet fijo y estable?</w:t>
            </w:r>
          </w:p>
        </w:tc>
        <w:tc>
          <w:tcPr>
            <w:tcBorders>
              <w:top w:color="000000" w:space="0" w:sz="4" w:val="single"/>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4" w:val="single"/>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A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A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¿Permite el ancho de banda ofrecer servicios de telemedicina sin que otros servicios se vean afectados?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B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sabe cómo calcular el ancho de banda necesario para prestar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B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dispone de los equipos mínimos necesarios (hardware)?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B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C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la respuesta anterior es 1 o 2 ¿Se dispone del presupuesto que hace falta para adquirir los equipos necesarios?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C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dispone de apoyo técnico en la propia institución para resolver problemas relacionados con la conectividad?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C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plan de ciberseguridad?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C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D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acceso a guías técnicas de apoyo para temas de conectividad?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D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plan de contingencia para fallas de equipos o de conectividad?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D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1D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54</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D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considerado qué impacto pueden tener los nuevos servicios de telemedicina sobre la infraestructura tecnológica actual?</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E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E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E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1E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1E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APLICACIONES (SOFTWARE PARA GESTIÓN DE REGISTROS MÉDICOS, PORTALES DE PACIENTES, ETC.)</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E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E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sistema de registro electrónico de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E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E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E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E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F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con un portal de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F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sabe qué software o soluciones informáticas son necesarios para ofrecer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F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procedimientos estándares de operación para la gestión de datos y procesos relacionados con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1F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0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guías sobre: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0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59.a. seguridad del paciente?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0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0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59.b. privacidad y confidencialidad de los datos?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1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¿Cuál es el nivel de interoperabilidad entre los diferentes sistemas y bases de datos de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2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1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con términos de referencia para la adquisición de soluciones informáticas?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1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2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considerado si la solución informática para telemedicina se integrará con otros sistemas y procesos existentes, como los de registros médicos, portales de pacientes, mensajería, etcétera?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2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¿Existen procedimientos estándares de operación para la gestión de datos y procesos relacionados con la atención de pacientes?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2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2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64</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2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¿Las plataformas para registros médicos usados en servicios de telemedicina tienen capacidad de incluir copias de todas las comunicaciones electrónicas relacionadas con el paciente?</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2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2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23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APLICACIONES (SOFTWARE ADMINISTRATIVO PARA FACTURACIÓN, PAGOS, CONTROL HORARIO, ETC.)</w:t>
            </w:r>
          </w:p>
        </w:tc>
      </w:tr>
      <w:tr>
        <w:trPr>
          <w:cantSplit w:val="0"/>
          <w:trHeight w:val="510"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3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65</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¿Están preparadas las plataformas de gestión administrativa para acompañar la implementación de servicios de telemedicina?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3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23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EQUIPO TÉCNICO (HARDWARE Y OTROS DISPOSITIVOS)</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4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inventario de todo el equipamiento técnico, que incluya la marca, el modelo, el tiempo de funcionamiento y el número de serie?</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4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una ubicación segura para almacenar el equipo cuando no se está utilizando?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4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5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programa de mantenimiento del equipamiento técnico?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5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69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considerado qué capacidad tecnológica de almacenamiento y seguridad son necesarias para documentar y registrar los encuentros presenciales?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5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dispone del apoyo técnico de especialistas en tecnologías de la información?</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5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6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6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6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71</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6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programa de renovación del equipamiento técnico?</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6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6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6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6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0" w:val="nil"/>
              <w:right w:color="000000" w:space="0" w:sz="0" w:val="nil"/>
            </w:tcBorders>
            <w:shd w:fill="auto" w:val="clear"/>
            <w:vAlign w:val="center"/>
          </w:tcPr>
          <w:p w:rsidR="00000000" w:rsidDel="00000000" w:rsidP="00000000" w:rsidRDefault="00000000" w:rsidRPr="00000000" w14:paraId="0000026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IV. RECURSOS HUMANOS</w:t>
            </w:r>
          </w:p>
        </w:tc>
      </w:tr>
      <w:tr>
        <w:trPr>
          <w:cantSplit w:val="0"/>
          <w:trHeight w:val="255" w:hRule="atLeast"/>
          <w:tblHeader w:val="0"/>
        </w:trPr>
        <w:tc>
          <w:tcPr>
            <w:gridSpan w:val="6"/>
            <w:tcBorders>
              <w:top w:color="000000" w:space="0" w:sz="4" w:val="single"/>
              <w:left w:color="ffffff" w:space="0" w:sz="4" w:val="single"/>
              <w:bottom w:color="000000" w:space="0" w:sz="4" w:val="single"/>
              <w:right w:color="000000" w:space="0" w:sz="0" w:val="nil"/>
            </w:tcBorders>
            <w:shd w:fill="auto" w:val="clear"/>
            <w:vAlign w:val="center"/>
          </w:tcPr>
          <w:p w:rsidR="00000000" w:rsidDel="00000000" w:rsidP="00000000" w:rsidRDefault="00000000" w:rsidRPr="00000000" w14:paraId="0000026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PERSONAL DE SALUD</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7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¿Hay personal disponible para participar en el programa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7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determinado con claridad qué personal trabajará en los servicios o especialidades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7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8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han determinado las capacidades mínimas de las personas que trabajarán en los servicios de telemedicina en los distintos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8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considera desarrollar un plan de capacitación acelerado para el personal menos experto en tecnologías de información?</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8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acceso a programas de capacitación rápida de otras instituciones, en caso necesario?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8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9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previsto prestar servicios de telemedicina fuera del horario de atención presencial?</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9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9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78</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9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¿Cuál es el nivel de capacitación del personal para prestar servicios de telemedicina?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9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9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9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9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29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PERSONAL DE TECNOLOGÍAS DE LA INFORMACIÓN</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A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cuenta con personal de tecnologías de la información propio que apoye a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A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 la respuesta anterior es inferior que 3, ¿está claro cuál debe ser el perfil de las personas que atenderán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A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B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81</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personal capacitado para realizar un análisis crítico de cualquier equipo y de las tecnologías de la información que se deban adquirir?</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B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personal con la experiencia necesaria para negociar con proveedores la compra o contratación de tecnologías de información o de servicios de apoyo?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B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B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83</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B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¿Cuál es el nivel de capacitación del personal informático de la institución para prestar servicios de telemedicina?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B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B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C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C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2C2">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 ASPECTOS NORMATIVOS</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C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¿Están completamente claros todos los aspectos jurídicos asociados a la prestación de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102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C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C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proceso para mantener actualizado al personal que presta servicios de telemedicina sobre posibles cambios en las reglamentaciones, estatutos, políticas federales y estatales, y la legislación relacionada con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D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¿Cuenta la institución con una asesoría legal interna? ¿Tiene acceso a un servicio de consultoría jurídica especializada para pedir consejo a expertos en cuestiones de legalidad, ética, privacidad y seguridad?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D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sabe a ciencia cierta que los pacientes se encuentran en los mismos límites geográficos (estado, provincia o municipio) que la institución que presta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D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E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conocen bien los aspectos de mala praxis relacionados con los servicios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E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89</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ha establecido un procedimiento para obtener y documentar el consentimiento del paciente antes de que participe en una visita de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76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E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90</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¿Existe un marco regulatorio para autorizar, integrar y reembolsar la telemedicina en la prestación de atención a todos los pacientes, en particular en situaciones de emergencia y brotes?</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E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F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F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510"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2F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91</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F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necesitan nuevas reglamentaciones o marcos técnicos jurídicos para implementar servicios de telemedicina?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F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F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F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2F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gridSpan w:val="6"/>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2F8">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VI. CONOCIMIENTO ESPECIALIZADO</w:t>
            </w:r>
          </w:p>
        </w:tc>
      </w:tr>
      <w:tr>
        <w:trPr>
          <w:cantSplit w:val="0"/>
          <w:trHeight w:val="510"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2F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92</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2F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Indicadores para proyectos de telemedicina como herramienta para reducir las inequidades en salud.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0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93</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5">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Protocolos de atención por vía telemedicina.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0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94</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Estándares de informática en salud e interoperabilidad.</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0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1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95</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Gestión del cambio.</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1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96</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7">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Arquitectura de información en salud pública.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9">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1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97</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Preparación tecnológica en salud pública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1F">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32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98</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Gobernanza de datos en salud pública.</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4">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5">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6">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ffffff" w:space="0" w:sz="4" w:val="single"/>
              <w:right w:color="ffffff" w:space="0" w:sz="4" w:val="single"/>
            </w:tcBorders>
            <w:shd w:fill="auto" w:val="clear"/>
            <w:vAlign w:val="center"/>
          </w:tcPr>
          <w:p w:rsidR="00000000" w:rsidDel="00000000" w:rsidP="00000000" w:rsidRDefault="00000000" w:rsidRPr="00000000" w14:paraId="00000327">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0" w:val="nil"/>
              <w:left w:color="ffffff" w:space="0" w:sz="4" w:val="single"/>
              <w:bottom w:color="000000" w:space="0" w:sz="0" w:val="nil"/>
              <w:right w:color="ffffff" w:space="0" w:sz="4" w:val="single"/>
            </w:tcBorders>
            <w:shd w:fill="auto" w:val="clear"/>
            <w:vAlign w:val="center"/>
          </w:tcPr>
          <w:p w:rsidR="00000000" w:rsidDel="00000000" w:rsidP="00000000" w:rsidRDefault="00000000" w:rsidRPr="00000000" w14:paraId="00000328">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99</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32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Marco de implementación de la telemedicina</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32A">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32B">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32C">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0" w:val="nil"/>
              <w:right w:color="ffffff" w:space="0" w:sz="4" w:val="single"/>
            </w:tcBorders>
            <w:shd w:fill="auto" w:val="clear"/>
            <w:vAlign w:val="center"/>
          </w:tcPr>
          <w:p w:rsidR="00000000" w:rsidDel="00000000" w:rsidP="00000000" w:rsidRDefault="00000000" w:rsidRPr="00000000" w14:paraId="0000032D">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255" w:hRule="atLeast"/>
          <w:tblHeader w:val="0"/>
        </w:trPr>
        <w:tc>
          <w:tcPr>
            <w:tcBorders>
              <w:top w:color="000000" w:space="0" w:sz="4" w:val="single"/>
              <w:left w:color="ffffff" w:space="0" w:sz="4" w:val="single"/>
              <w:bottom w:color="000000" w:space="0" w:sz="4" w:val="single"/>
              <w:right w:color="ffffff" w:space="0" w:sz="4" w:val="single"/>
            </w:tcBorders>
            <w:shd w:fill="auto" w:val="clear"/>
            <w:vAlign w:val="center"/>
          </w:tcPr>
          <w:p w:rsidR="00000000" w:rsidDel="00000000" w:rsidP="00000000" w:rsidRDefault="00000000" w:rsidRPr="00000000" w14:paraId="0000032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32F">
            <w:pP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TOTAL</w:t>
            </w:r>
          </w:p>
        </w:tc>
        <w:tc>
          <w:tcPr>
            <w:tcBorders>
              <w:top w:color="000000" w:space="0" w:sz="4" w:val="single"/>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330">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33</w:t>
            </w:r>
          </w:p>
        </w:tc>
        <w:tc>
          <w:tcPr>
            <w:tcBorders>
              <w:top w:color="000000" w:space="0" w:sz="4" w:val="single"/>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331">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42</w:t>
            </w:r>
          </w:p>
        </w:tc>
        <w:tc>
          <w:tcPr>
            <w:tcBorders>
              <w:top w:color="000000" w:space="0" w:sz="4" w:val="single"/>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332">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26</w:t>
            </w:r>
          </w:p>
        </w:tc>
        <w:tc>
          <w:tcPr>
            <w:tcBorders>
              <w:top w:color="000000" w:space="0" w:sz="4" w:val="single"/>
              <w:left w:color="000000" w:space="0" w:sz="0" w:val="nil"/>
              <w:bottom w:color="000000" w:space="0" w:sz="4" w:val="single"/>
              <w:right w:color="ffffff" w:space="0" w:sz="4" w:val="single"/>
            </w:tcBorders>
            <w:shd w:fill="auto" w:val="clear"/>
            <w:vAlign w:val="center"/>
          </w:tcPr>
          <w:p w:rsidR="00000000" w:rsidDel="00000000" w:rsidP="00000000" w:rsidRDefault="00000000" w:rsidRPr="00000000" w14:paraId="0000033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r>
    </w:tbl>
    <w:p w:rsidR="00000000" w:rsidDel="00000000" w:rsidP="00000000" w:rsidRDefault="00000000" w:rsidRPr="00000000" w14:paraId="0000033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5">
      <w:pPr>
        <w:spacing w:line="360" w:lineRule="auto"/>
        <w:jc w:val="both"/>
        <w:rPr>
          <w:rFonts w:ascii="Arial" w:cs="Arial" w:eastAsia="Arial" w:hAnsi="Arial"/>
          <w:sz w:val="20"/>
          <w:szCs w:val="2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qFormat w:val="1"/>
    <w:pPr>
      <w:spacing w:after="100" w:afterAutospacing="1" w:before="100" w:beforeAutospacing="1" w:line="240" w:lineRule="auto"/>
    </w:pPr>
    <w:rPr>
      <w:rFonts w:ascii="Times New Roman" w:cs="Times New Roman" w:eastAsia="Times New Roman" w:hAnsi="Times New Roman"/>
      <w:sz w:val="24"/>
      <w:szCs w:val="24"/>
      <w:lang w:eastAsia="es-PE"/>
    </w:rPr>
  </w:style>
  <w:style w:type="paragraph" w:styleId="Prrafodelista">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hart" Target="charts/chart1.xml"/><Relationship Id="rId8"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Mafer\Desktop\BASE%20DE%20DATOS%20PX%20TELESALUD\LINEA%20DE%20TIEMPO%20-%20GRAFICO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Mafer\Desktop\BASE%20DE%20DATOS%20PX%20TELESALUD\LINEA%20DE%20TIEMPO%20-%20GRAFICOS.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Mafer\Desktop\BASE%20DE%20DATOS%20PX%20TELESALUD\LINEA%20DE%20TIEMPO%20-%20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s-ES" sz="1400" b="0" i="0" u="none" strike="noStrike" kern="1200" spc="0" baseline="0">
                <a:solidFill>
                  <a:schemeClr val="tx1">
                    <a:lumMod val="65000"/>
                    <a:lumOff val="35000"/>
                  </a:schemeClr>
                </a:solidFill>
                <a:latin typeface="+mn-lt"/>
                <a:ea typeface="+mn-ea"/>
                <a:cs typeface="+mn-cs"/>
              </a:defRPr>
            </a:pPr>
            <a:r>
              <a:rPr lang="es-PE" sz="1400" b="1"/>
              <a:t>Frecuencia de atenciones mensuales y modalidad de atención según plataforma “Teleatiendo”</a:t>
            </a:r>
          </a:p>
        </c:rich>
      </c:tx>
      <c:overlay val="0"/>
      <c:spPr>
        <a:noFill/>
        <a:ln>
          <a:noFill/>
        </a:ln>
        <a:effectLst/>
      </c:spPr>
      <c:txPr>
        <a:bodyPr rot="0" spcFirstLastPara="0" vertOverflow="ellipsis" vert="horz" wrap="square" anchor="ctr" anchorCtr="1"/>
        <a:lstStyle/>
        <a:p>
          <a:pPr defTabSz="914400">
            <a:defRPr lang="es-ES"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lineChart>
        <c:grouping val="standard"/>
        <c:varyColors val="0"/>
        <c:ser>
          <c:idx val="0"/>
          <c:order val="0"/>
          <c:tx>
            <c:strRef>
              <c:f>'[LINEA DE TIEMPO - GRAFICOS.xlsx]Hoja3'!$A$2</c:f>
              <c:strCache>
                <c:ptCount val="1"/>
                <c:pt idx="0">
                  <c:v>total global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GRAFICOS.xlsx]Hoja3'!$B$2:$J$2</c:f>
              <c:numCache>
                <c:formatCode>General</c:formatCode>
                <c:ptCount val="9"/>
                <c:pt idx="0">
                  <c:v>4951</c:v>
                </c:pt>
                <c:pt idx="1">
                  <c:v>7568</c:v>
                </c:pt>
                <c:pt idx="2">
                  <c:v>10626</c:v>
                </c:pt>
                <c:pt idx="3">
                  <c:v>10687</c:v>
                </c:pt>
                <c:pt idx="4">
                  <c:v>10141</c:v>
                </c:pt>
                <c:pt idx="5">
                  <c:v>8676</c:v>
                </c:pt>
                <c:pt idx="6">
                  <c:v>10140</c:v>
                </c:pt>
                <c:pt idx="7">
                  <c:v>8691</c:v>
                </c:pt>
                <c:pt idx="8">
                  <c:v>10714</c:v>
                </c:pt>
              </c:numCache>
            </c:numRef>
          </c:val>
          <c:smooth val="0"/>
          <c:extLst>
            <c:ext xmlns:c16="http://schemas.microsoft.com/office/drawing/2014/chart" uri="{C3380CC4-5D6E-409C-BE32-E72D297353CC}">
              <c16:uniqueId val="{00000000-A631-4194-8F22-D90E10BD3805}"/>
            </c:ext>
          </c:extLst>
        </c:ser>
        <c:ser>
          <c:idx val="1"/>
          <c:order val="1"/>
          <c:tx>
            <c:strRef>
              <c:f>'[LINEA DE TIEMPO - GRAFICOS.xlsx]Hoja3'!$A$3</c:f>
              <c:strCache>
                <c:ptCount val="1"/>
                <c:pt idx="0">
                  <c:v>teleorientación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GRAFICOS.xlsx]Hoja3'!$B$3:$J$3</c:f>
              <c:numCache>
                <c:formatCode>General</c:formatCode>
                <c:ptCount val="9"/>
                <c:pt idx="0">
                  <c:v>3581</c:v>
                </c:pt>
                <c:pt idx="1">
                  <c:v>5538</c:v>
                </c:pt>
                <c:pt idx="2">
                  <c:v>8504</c:v>
                </c:pt>
                <c:pt idx="3">
                  <c:v>8850</c:v>
                </c:pt>
                <c:pt idx="4">
                  <c:v>8457</c:v>
                </c:pt>
                <c:pt idx="5">
                  <c:v>7176</c:v>
                </c:pt>
                <c:pt idx="6">
                  <c:v>8714</c:v>
                </c:pt>
                <c:pt idx="7">
                  <c:v>7377</c:v>
                </c:pt>
                <c:pt idx="8">
                  <c:v>8592</c:v>
                </c:pt>
              </c:numCache>
            </c:numRef>
          </c:val>
          <c:smooth val="0"/>
          <c:extLst>
            <c:ext xmlns:c16="http://schemas.microsoft.com/office/drawing/2014/chart" uri="{C3380CC4-5D6E-409C-BE32-E72D297353CC}">
              <c16:uniqueId val="{00000001-A631-4194-8F22-D90E10BD3805}"/>
            </c:ext>
          </c:extLst>
        </c:ser>
        <c:ser>
          <c:idx val="2"/>
          <c:order val="2"/>
          <c:tx>
            <c:strRef>
              <c:f>'[LINEA DE TIEMPO - GRAFICOS.xlsx]Hoja3'!$A$4</c:f>
              <c:strCache>
                <c:ptCount val="1"/>
                <c:pt idx="0">
                  <c:v>telemonitoreo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GRAFICOS.xlsx]Hoja3'!$B$4:$J$4</c:f>
              <c:numCache>
                <c:formatCode>General</c:formatCode>
                <c:ptCount val="9"/>
                <c:pt idx="0">
                  <c:v>1274</c:v>
                </c:pt>
                <c:pt idx="1">
                  <c:v>1796</c:v>
                </c:pt>
                <c:pt idx="2">
                  <c:v>1806</c:v>
                </c:pt>
                <c:pt idx="3">
                  <c:v>1485</c:v>
                </c:pt>
                <c:pt idx="4">
                  <c:v>1419</c:v>
                </c:pt>
                <c:pt idx="5">
                  <c:v>1302</c:v>
                </c:pt>
                <c:pt idx="6">
                  <c:v>1162</c:v>
                </c:pt>
                <c:pt idx="7">
                  <c:v>1157</c:v>
                </c:pt>
                <c:pt idx="8">
                  <c:v>1907</c:v>
                </c:pt>
              </c:numCache>
            </c:numRef>
          </c:val>
          <c:smooth val="0"/>
          <c:extLst>
            <c:ext xmlns:c16="http://schemas.microsoft.com/office/drawing/2014/chart" uri="{C3380CC4-5D6E-409C-BE32-E72D297353CC}">
              <c16:uniqueId val="{00000002-A631-4194-8F22-D90E10BD3805}"/>
            </c:ext>
          </c:extLst>
        </c:ser>
        <c:ser>
          <c:idx val="3"/>
          <c:order val="3"/>
          <c:tx>
            <c:strRef>
              <c:f>'[LINEA DE TIEMPO - GRAFICOS.xlsx]Hoja3'!$A$5</c:f>
              <c:strCache>
                <c:ptCount val="1"/>
                <c:pt idx="0">
                  <c:v>teleconsulta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GRAFICOS.xlsx]Hoja3'!$B$5:$J$5</c:f>
              <c:numCache>
                <c:formatCode>General</c:formatCode>
                <c:ptCount val="9"/>
                <c:pt idx="0">
                  <c:v>96</c:v>
                </c:pt>
                <c:pt idx="1">
                  <c:v>234</c:v>
                </c:pt>
                <c:pt idx="2">
                  <c:v>316</c:v>
                </c:pt>
                <c:pt idx="3">
                  <c:v>352</c:v>
                </c:pt>
                <c:pt idx="4">
                  <c:v>265</c:v>
                </c:pt>
                <c:pt idx="5">
                  <c:v>198</c:v>
                </c:pt>
                <c:pt idx="6">
                  <c:v>264</c:v>
                </c:pt>
                <c:pt idx="7">
                  <c:v>157</c:v>
                </c:pt>
                <c:pt idx="8">
                  <c:v>215</c:v>
                </c:pt>
              </c:numCache>
            </c:numRef>
          </c:val>
          <c:smooth val="0"/>
          <c:extLst>
            <c:ext xmlns:c16="http://schemas.microsoft.com/office/drawing/2014/chart" uri="{C3380CC4-5D6E-409C-BE32-E72D297353CC}">
              <c16:uniqueId val="{00000003-A631-4194-8F22-D90E10BD3805}"/>
            </c:ext>
          </c:extLst>
        </c:ser>
        <c:dLbls>
          <c:showLegendKey val="0"/>
          <c:showVal val="0"/>
          <c:showCatName val="0"/>
          <c:showSerName val="0"/>
          <c:showPercent val="0"/>
          <c:showBubbleSize val="0"/>
        </c:dLbls>
        <c:marker val="1"/>
        <c:smooth val="0"/>
        <c:axId val="427530184"/>
        <c:axId val="492933290"/>
      </c:lineChart>
      <c:catAx>
        <c:axId val="427530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s-ES" sz="700" b="0" i="0" u="none" strike="noStrike" kern="1200" baseline="0">
                <a:solidFill>
                  <a:schemeClr val="tx1">
                    <a:lumMod val="65000"/>
                    <a:lumOff val="35000"/>
                  </a:schemeClr>
                </a:solidFill>
                <a:latin typeface="+mn-lt"/>
                <a:ea typeface="+mn-ea"/>
                <a:cs typeface="+mn-cs"/>
              </a:defRPr>
            </a:pPr>
            <a:endParaRPr lang="es-PE"/>
          </a:p>
        </c:txPr>
        <c:crossAx val="492933290"/>
        <c:crosses val="autoZero"/>
        <c:auto val="1"/>
        <c:lblAlgn val="ctr"/>
        <c:lblOffset val="100"/>
        <c:noMultiLvlLbl val="0"/>
      </c:catAx>
      <c:valAx>
        <c:axId val="4929332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700" b="0" i="0" u="none" strike="noStrike" kern="1200" baseline="0">
                <a:solidFill>
                  <a:schemeClr val="tx1">
                    <a:lumMod val="65000"/>
                    <a:lumOff val="35000"/>
                  </a:schemeClr>
                </a:solidFill>
                <a:latin typeface="+mn-lt"/>
                <a:ea typeface="+mn-ea"/>
                <a:cs typeface="+mn-cs"/>
              </a:defRPr>
            </a:pPr>
            <a:endParaRPr lang="es-PE"/>
          </a:p>
        </c:txPr>
        <c:crossAx val="427530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es-ES" sz="700" b="0" i="0" u="none" strike="noStrike" kern="1200" baseline="0">
                <a:solidFill>
                  <a:schemeClr val="tx1">
                    <a:lumMod val="65000"/>
                    <a:lumOff val="35000"/>
                  </a:schemeClr>
                </a:solidFill>
                <a:latin typeface="+mn-lt"/>
                <a:ea typeface="+mn-ea"/>
                <a:cs typeface="+mn-cs"/>
              </a:defRPr>
            </a:pPr>
            <a:endParaRPr lang="es-P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sz="700"/>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s-ES" sz="1400" b="1" i="0" u="none" strike="noStrike" kern="1200" spc="0" baseline="0">
                <a:solidFill>
                  <a:schemeClr val="tx1">
                    <a:lumMod val="65000"/>
                    <a:lumOff val="35000"/>
                  </a:schemeClr>
                </a:solidFill>
                <a:latin typeface="+mn-lt"/>
                <a:ea typeface="+mn-ea"/>
                <a:cs typeface="+mn-cs"/>
              </a:defRPr>
            </a:pPr>
            <a:r>
              <a:rPr lang="es-PE" sz="1400" b="1"/>
              <a:t>Distribución geográfica de ateciones en telesalud por departamentos del Perú</a:t>
            </a:r>
          </a:p>
        </c:rich>
      </c:tx>
      <c:overlay val="0"/>
      <c:spPr>
        <a:noFill/>
        <a:ln>
          <a:noFill/>
        </a:ln>
        <a:effectLst/>
      </c:spPr>
      <c:txPr>
        <a:bodyPr rot="0" spcFirstLastPara="0" vertOverflow="ellipsis" vert="horz" wrap="square" anchor="ctr" anchorCtr="1"/>
        <a:lstStyle/>
        <a:p>
          <a:pPr defTabSz="914400">
            <a:defRPr lang="es-ES"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'[LINEA DE TIEMPO - GRAFICOS.xlsx]Hoja3'!$A$11</c:f>
              <c:strCache>
                <c:ptCount val="1"/>
                <c:pt idx="0">
                  <c:v>Arequipa departamento</c:v>
                </c:pt>
              </c:strCache>
            </c:strRef>
          </c:tx>
          <c:spPr>
            <a:solidFill>
              <a:schemeClr val="accent6"/>
            </a:solidFill>
            <a:ln>
              <a:noFill/>
            </a:ln>
            <a:effectLst/>
          </c:spPr>
          <c:invertIfNegative val="0"/>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GRAFICOS.xlsx]Hoja3'!$B$11:$J$11</c:f>
              <c:numCache>
                <c:formatCode>General</c:formatCode>
                <c:ptCount val="9"/>
                <c:pt idx="0">
                  <c:v>3857</c:v>
                </c:pt>
                <c:pt idx="1">
                  <c:v>5665</c:v>
                </c:pt>
                <c:pt idx="2">
                  <c:v>5542</c:v>
                </c:pt>
                <c:pt idx="3">
                  <c:v>5371</c:v>
                </c:pt>
                <c:pt idx="4">
                  <c:v>5429</c:v>
                </c:pt>
                <c:pt idx="5">
                  <c:v>5533</c:v>
                </c:pt>
                <c:pt idx="6">
                  <c:v>5322</c:v>
                </c:pt>
                <c:pt idx="7">
                  <c:v>4779</c:v>
                </c:pt>
                <c:pt idx="8">
                  <c:v>5670</c:v>
                </c:pt>
              </c:numCache>
            </c:numRef>
          </c:val>
          <c:extLst>
            <c:ext xmlns:c16="http://schemas.microsoft.com/office/drawing/2014/chart" uri="{C3380CC4-5D6E-409C-BE32-E72D297353CC}">
              <c16:uniqueId val="{00000000-6747-425C-B5E6-1CF2082C8185}"/>
            </c:ext>
          </c:extLst>
        </c:ser>
        <c:ser>
          <c:idx val="1"/>
          <c:order val="1"/>
          <c:tx>
            <c:strRef>
              <c:f>'[LINEA DE TIEMPO - GRAFICOS.xlsx]Hoja3'!$A$12</c:f>
              <c:strCache>
                <c:ptCount val="1"/>
                <c:pt idx="0">
                  <c:v>Otros departamentos</c:v>
                </c:pt>
              </c:strCache>
            </c:strRef>
          </c:tx>
          <c:spPr>
            <a:solidFill>
              <a:schemeClr val="accent5"/>
            </a:solidFill>
            <a:ln>
              <a:noFill/>
            </a:ln>
            <a:effectLst/>
          </c:spPr>
          <c:invertIfNegative val="0"/>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GRAFICOS.xlsx]Hoja3'!$B$12:$J$12</c:f>
              <c:numCache>
                <c:formatCode>General</c:formatCode>
                <c:ptCount val="9"/>
                <c:pt idx="0">
                  <c:v>1094</c:v>
                </c:pt>
                <c:pt idx="1">
                  <c:v>1903</c:v>
                </c:pt>
                <c:pt idx="2">
                  <c:v>5084</c:v>
                </c:pt>
                <c:pt idx="3">
                  <c:v>5316</c:v>
                </c:pt>
                <c:pt idx="4">
                  <c:v>4712</c:v>
                </c:pt>
                <c:pt idx="5">
                  <c:v>3143</c:v>
                </c:pt>
                <c:pt idx="6">
                  <c:v>4818</c:v>
                </c:pt>
                <c:pt idx="7">
                  <c:v>3912</c:v>
                </c:pt>
                <c:pt idx="8">
                  <c:v>5044</c:v>
                </c:pt>
              </c:numCache>
            </c:numRef>
          </c:val>
          <c:extLst>
            <c:ext xmlns:c16="http://schemas.microsoft.com/office/drawing/2014/chart" uri="{C3380CC4-5D6E-409C-BE32-E72D297353CC}">
              <c16:uniqueId val="{00000001-6747-425C-B5E6-1CF2082C8185}"/>
            </c:ext>
          </c:extLst>
        </c:ser>
        <c:dLbls>
          <c:showLegendKey val="0"/>
          <c:showVal val="0"/>
          <c:showCatName val="0"/>
          <c:showSerName val="0"/>
          <c:showPercent val="0"/>
          <c:showBubbleSize val="0"/>
        </c:dLbls>
        <c:gapWidth val="150"/>
        <c:axId val="228009719"/>
        <c:axId val="50052241"/>
      </c:barChart>
      <c:catAx>
        <c:axId val="2280097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s-ES" sz="700" b="0" i="0" u="none" strike="noStrike" kern="1200" baseline="0">
                <a:solidFill>
                  <a:schemeClr val="tx1">
                    <a:lumMod val="65000"/>
                    <a:lumOff val="35000"/>
                  </a:schemeClr>
                </a:solidFill>
                <a:latin typeface="+mn-lt"/>
                <a:ea typeface="+mn-ea"/>
                <a:cs typeface="+mn-cs"/>
              </a:defRPr>
            </a:pPr>
            <a:endParaRPr lang="es-PE"/>
          </a:p>
        </c:txPr>
        <c:crossAx val="50052241"/>
        <c:crosses val="autoZero"/>
        <c:auto val="1"/>
        <c:lblAlgn val="ctr"/>
        <c:lblOffset val="100"/>
        <c:noMultiLvlLbl val="0"/>
      </c:catAx>
      <c:valAx>
        <c:axId val="500522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es-ES" sz="700" b="0" i="0" u="none" strike="noStrike" kern="1200" baseline="0">
                <a:solidFill>
                  <a:schemeClr val="tx1">
                    <a:lumMod val="65000"/>
                    <a:lumOff val="35000"/>
                  </a:schemeClr>
                </a:solidFill>
                <a:latin typeface="+mn-lt"/>
                <a:ea typeface="+mn-ea"/>
                <a:cs typeface="+mn-cs"/>
              </a:defRPr>
            </a:pPr>
            <a:endParaRPr lang="es-PE"/>
          </a:p>
        </c:txPr>
        <c:crossAx val="22800971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es-ES" sz="700" b="0" i="0" u="none" strike="noStrike" kern="1200" baseline="0">
                <a:solidFill>
                  <a:schemeClr val="tx1">
                    <a:lumMod val="65000"/>
                    <a:lumOff val="35000"/>
                  </a:schemeClr>
                </a:solidFill>
                <a:latin typeface="+mn-lt"/>
                <a:ea typeface="+mn-ea"/>
                <a:cs typeface="+mn-cs"/>
              </a:defRPr>
            </a:pPr>
            <a:endParaRPr lang="es-P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sz="700"/>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es-ES" sz="1400" b="1" i="0" u="none" strike="noStrike" kern="1200" spc="0" baseline="0">
                <a:solidFill>
                  <a:schemeClr val="tx1">
                    <a:lumMod val="65000"/>
                    <a:lumOff val="35000"/>
                  </a:schemeClr>
                </a:solidFill>
                <a:latin typeface="+mn-lt"/>
                <a:ea typeface="+mn-ea"/>
                <a:cs typeface="+mn-cs"/>
              </a:defRPr>
            </a:pPr>
            <a:r>
              <a:rPr lang="es-PE" sz="1400" b="1"/>
              <a:t>Seguro de salud de pacientes atendidos por telesalud del HRHD</a:t>
            </a:r>
          </a:p>
        </c:rich>
      </c:tx>
      <c:overlay val="0"/>
      <c:spPr>
        <a:noFill/>
        <a:ln>
          <a:noFill/>
        </a:ln>
        <a:effectLst/>
      </c:spPr>
      <c:txPr>
        <a:bodyPr rot="0" spcFirstLastPara="0" vertOverflow="ellipsis" vert="horz" wrap="square" anchor="ctr" anchorCtr="1"/>
        <a:lstStyle/>
        <a:p>
          <a:pPr defTabSz="914400">
            <a:defRPr lang="es-ES" sz="1400" b="1"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bar"/>
        <c:grouping val="percentStacked"/>
        <c:varyColors val="0"/>
        <c:ser>
          <c:idx val="0"/>
          <c:order val="0"/>
          <c:tx>
            <c:strRef>
              <c:f>'[LINEA DE TIEMPO - GRAFICOS.xlsx]Hoja3'!$A$7</c:f>
              <c:strCache>
                <c:ptCount val="1"/>
                <c:pt idx="0">
                  <c:v>Essalud</c:v>
                </c:pt>
              </c:strCache>
            </c:strRef>
          </c:tx>
          <c:spPr>
            <a:solidFill>
              <a:schemeClr val="accent4">
                <a:lumMod val="60000"/>
                <a:lumOff val="4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s-ES" sz="1000" b="0" i="0" u="none" strike="noStrike" kern="1200" baseline="0">
                    <a:solidFill>
                      <a:schemeClr val="tx1">
                        <a:lumMod val="75000"/>
                        <a:lumOff val="25000"/>
                      </a:schemeClr>
                    </a:solidFill>
                    <a:latin typeface="+mn-lt"/>
                    <a:ea typeface="+mn-ea"/>
                    <a:cs typeface="+mn-cs"/>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GRAFICOS.xlsx]Hoja3'!$B$7:$J$7</c:f>
              <c:numCache>
                <c:formatCode>General</c:formatCode>
                <c:ptCount val="9"/>
                <c:pt idx="0">
                  <c:v>1256</c:v>
                </c:pt>
                <c:pt idx="1">
                  <c:v>1887</c:v>
                </c:pt>
                <c:pt idx="2">
                  <c:v>3138</c:v>
                </c:pt>
                <c:pt idx="3">
                  <c:v>3033</c:v>
                </c:pt>
                <c:pt idx="4">
                  <c:v>1867</c:v>
                </c:pt>
                <c:pt idx="5">
                  <c:v>2126</c:v>
                </c:pt>
                <c:pt idx="6">
                  <c:v>3494</c:v>
                </c:pt>
                <c:pt idx="7">
                  <c:v>2641</c:v>
                </c:pt>
                <c:pt idx="8">
                  <c:v>3606</c:v>
                </c:pt>
              </c:numCache>
            </c:numRef>
          </c:val>
          <c:extLst>
            <c:ext xmlns:c16="http://schemas.microsoft.com/office/drawing/2014/chart" uri="{C3380CC4-5D6E-409C-BE32-E72D297353CC}">
              <c16:uniqueId val="{00000000-058E-46E2-B4B0-B0A1BB191DA4}"/>
            </c:ext>
          </c:extLst>
        </c:ser>
        <c:ser>
          <c:idx val="1"/>
          <c:order val="1"/>
          <c:tx>
            <c:strRef>
              <c:f>'[LINEA DE TIEMPO - GRAFICOS.xlsx]Hoja3'!$A$8</c:f>
              <c:strCache>
                <c:ptCount val="1"/>
                <c:pt idx="0">
                  <c:v>Seguro Integral de Salud</c:v>
                </c:pt>
              </c:strCache>
            </c:strRef>
          </c:tx>
          <c:spPr>
            <a:solidFill>
              <a:srgbClr val="92D05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s-ES" sz="1000" b="0" i="0" u="none" strike="noStrike" kern="1200" baseline="0">
                    <a:solidFill>
                      <a:schemeClr val="tx1">
                        <a:lumMod val="75000"/>
                        <a:lumOff val="25000"/>
                      </a:schemeClr>
                    </a:solidFill>
                    <a:latin typeface="+mn-lt"/>
                    <a:ea typeface="+mn-ea"/>
                    <a:cs typeface="+mn-cs"/>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GRAFICOS.xlsx]Hoja3'!$B$8:$J$8</c:f>
              <c:numCache>
                <c:formatCode>General</c:formatCode>
                <c:ptCount val="9"/>
                <c:pt idx="0">
                  <c:v>3159</c:v>
                </c:pt>
                <c:pt idx="1">
                  <c:v>5004</c:v>
                </c:pt>
                <c:pt idx="2">
                  <c:v>6726</c:v>
                </c:pt>
                <c:pt idx="3">
                  <c:v>6752</c:v>
                </c:pt>
                <c:pt idx="4">
                  <c:v>6836</c:v>
                </c:pt>
                <c:pt idx="5">
                  <c:v>5941</c:v>
                </c:pt>
                <c:pt idx="6">
                  <c:v>5830</c:v>
                </c:pt>
                <c:pt idx="7">
                  <c:v>5541</c:v>
                </c:pt>
                <c:pt idx="8">
                  <c:v>6463</c:v>
                </c:pt>
              </c:numCache>
            </c:numRef>
          </c:val>
          <c:extLst>
            <c:ext xmlns:c16="http://schemas.microsoft.com/office/drawing/2014/chart" uri="{C3380CC4-5D6E-409C-BE32-E72D297353CC}">
              <c16:uniqueId val="{00000001-058E-46E2-B4B0-B0A1BB191DA4}"/>
            </c:ext>
          </c:extLst>
        </c:ser>
        <c:ser>
          <c:idx val="2"/>
          <c:order val="2"/>
          <c:tx>
            <c:strRef>
              <c:f>'[LINEA DE TIEMPO - GRAFICOS.xlsx]Hoja3'!$A$9</c:f>
              <c:strCache>
                <c:ptCount val="1"/>
                <c:pt idx="0">
                  <c:v>otros seguros</c:v>
                </c:pt>
              </c:strCache>
            </c:strRef>
          </c:tx>
          <c:spPr>
            <a:solidFill>
              <a:srgbClr val="FF0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es-ES" sz="1000" b="0" i="0" u="none" strike="noStrike" kern="1200" baseline="0">
                    <a:solidFill>
                      <a:schemeClr val="tx1">
                        <a:lumMod val="75000"/>
                        <a:lumOff val="25000"/>
                      </a:schemeClr>
                    </a:solidFill>
                    <a:latin typeface="+mn-lt"/>
                    <a:ea typeface="+mn-ea"/>
                    <a:cs typeface="+mn-cs"/>
                  </a:defRPr>
                </a:pPr>
                <a:endParaRPr lang="es-P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'[LINEA DE TIEMPO - GRAFICOS.xlsx]Hoja3'!$B$1:$J$1</c:f>
              <c:strCache>
                <c:ptCount val="9"/>
                <c:pt idx="0">
                  <c:v>Mayo</c:v>
                </c:pt>
                <c:pt idx="1">
                  <c:v>Junio</c:v>
                </c:pt>
                <c:pt idx="2">
                  <c:v>Julio</c:v>
                </c:pt>
                <c:pt idx="3">
                  <c:v>Agosto</c:v>
                </c:pt>
                <c:pt idx="4">
                  <c:v>Setiembre</c:v>
                </c:pt>
                <c:pt idx="5">
                  <c:v>Octubre</c:v>
                </c:pt>
                <c:pt idx="6">
                  <c:v>Noviembre</c:v>
                </c:pt>
                <c:pt idx="7">
                  <c:v>Diciembre</c:v>
                </c:pt>
                <c:pt idx="8">
                  <c:v>Enero</c:v>
                </c:pt>
              </c:strCache>
            </c:strRef>
          </c:cat>
          <c:val>
            <c:numRef>
              <c:f>'[LINEA DE TIEMPO - GRAFICOS.xlsx]Hoja3'!$B$9:$J$9</c:f>
              <c:numCache>
                <c:formatCode>General</c:formatCode>
                <c:ptCount val="9"/>
                <c:pt idx="0">
                  <c:v>536</c:v>
                </c:pt>
                <c:pt idx="1">
                  <c:v>677</c:v>
                </c:pt>
                <c:pt idx="2">
                  <c:v>762</c:v>
                </c:pt>
                <c:pt idx="3">
                  <c:v>902</c:v>
                </c:pt>
                <c:pt idx="4">
                  <c:v>1438</c:v>
                </c:pt>
                <c:pt idx="5">
                  <c:v>609</c:v>
                </c:pt>
                <c:pt idx="6">
                  <c:v>816</c:v>
                </c:pt>
                <c:pt idx="7">
                  <c:v>509</c:v>
                </c:pt>
                <c:pt idx="8">
                  <c:v>645</c:v>
                </c:pt>
              </c:numCache>
            </c:numRef>
          </c:val>
          <c:extLst>
            <c:ext xmlns:c16="http://schemas.microsoft.com/office/drawing/2014/chart" uri="{C3380CC4-5D6E-409C-BE32-E72D297353CC}">
              <c16:uniqueId val="{00000002-058E-46E2-B4B0-B0A1BB191DA4}"/>
            </c:ext>
          </c:extLst>
        </c:ser>
        <c:dLbls>
          <c:showLegendKey val="0"/>
          <c:showVal val="1"/>
          <c:showCatName val="0"/>
          <c:showSerName val="0"/>
          <c:showPercent val="0"/>
          <c:showBubbleSize val="0"/>
        </c:dLbls>
        <c:gapWidth val="95"/>
        <c:overlap val="100"/>
        <c:axId val="159085499"/>
        <c:axId val="388856484"/>
      </c:barChart>
      <c:catAx>
        <c:axId val="15908549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s-PE"/>
          </a:p>
        </c:txPr>
        <c:crossAx val="388856484"/>
        <c:crosses val="autoZero"/>
        <c:auto val="1"/>
        <c:lblAlgn val="ctr"/>
        <c:lblOffset val="100"/>
        <c:noMultiLvlLbl val="0"/>
      </c:catAx>
      <c:valAx>
        <c:axId val="388856484"/>
        <c:scaling>
          <c:orientation val="minMax"/>
        </c:scaling>
        <c:delete val="1"/>
        <c:axPos val="b"/>
        <c:numFmt formatCode="0%" sourceLinked="1"/>
        <c:majorTickMark val="none"/>
        <c:minorTickMark val="none"/>
        <c:tickLblPos val="nextTo"/>
        <c:crossAx val="159085499"/>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s-PE"/>
          </a:p>
        </c:txPr>
      </c:legendEntry>
      <c:legendEntry>
        <c:idx val="1"/>
        <c:txPr>
          <a:bodyPr rot="0" spcFirstLastPara="0"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s-PE"/>
          </a:p>
        </c:txPr>
      </c:legendEntry>
      <c:legendEntry>
        <c:idx val="2"/>
        <c:txPr>
          <a:bodyPr rot="0" spcFirstLastPara="0"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s-PE"/>
          </a:p>
        </c:txPr>
      </c:legendEntry>
      <c:layout>
        <c:manualLayout>
          <c:xMode val="edge"/>
          <c:yMode val="edge"/>
          <c:x val="0.29664285062944901"/>
          <c:y val="0.202959149284302"/>
        </c:manualLayout>
      </c:layout>
      <c:overlay val="0"/>
      <c:spPr>
        <a:noFill/>
        <a:ln>
          <a:noFill/>
        </a:ln>
        <a:effectLst/>
      </c:spPr>
      <c:txPr>
        <a:bodyPr rot="0" spcFirstLastPara="0"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ES" sz="1000"/>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rZXDdac/YXcZERMhXz3pTAlLQ==">AMUW2mUHAMvE3UJ5/hqknyvInhFBxS/RLxbWgmV+Zqw8lB757aCbSrswcEGQzBq4QVe6Re5fFRZu/PoV6QpQPd4pr8o1e5FWK7proPruuPamayo/11v4C53Djj2ac2AtOiVuaGlR7ZI0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2022-03-19T06:49:00Z</dcterms:created>
  <dc:creator>Fabricio Ccami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3082-11.2.0.11074</vt:lpwstr>
  </property>
  <property fmtid="{D5CDD505-2E9C-101B-9397-08002B2CF9AE}" pid="3" name="ICV">
    <vt:lpwstr>2A874DB24B8348BFA66599A0ECCC7564</vt:lpwstr>
  </property>
</Properties>
</file>